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43303" w14:textId="6B977B68" w:rsidR="00C30876" w:rsidRPr="004D1DC2" w:rsidRDefault="00C30876" w:rsidP="00C30876">
      <w:pPr>
        <w:pStyle w:val="3GPPHeader"/>
        <w:spacing w:after="60"/>
      </w:pPr>
      <w:bookmarkStart w:id="0" w:name="_Hlk521705427"/>
      <w:bookmarkStart w:id="1" w:name="_Hlk524960236"/>
      <w:bookmarkEnd w:id="0"/>
      <w:r w:rsidRPr="004D1DC2">
        <w:t>3GPP TSG-RAN WG1 Meeting #95</w:t>
      </w:r>
      <w:r w:rsidRPr="004D1DC2">
        <w:tab/>
        <w:t xml:space="preserve"> </w:t>
      </w:r>
      <w:r w:rsidR="009A7028" w:rsidRPr="004D1DC2">
        <w:t>R1-</w:t>
      </w:r>
      <w:r w:rsidR="000D6D6A">
        <w:t>1</w:t>
      </w:r>
      <w:bookmarkStart w:id="2" w:name="_GoBack"/>
      <w:bookmarkEnd w:id="2"/>
      <w:r w:rsidR="009A7028" w:rsidRPr="004D1DC2">
        <w:t>813460</w:t>
      </w:r>
    </w:p>
    <w:p w14:paraId="2F55D49B" w14:textId="77777777" w:rsidR="00C30876" w:rsidRPr="004D1DC2" w:rsidRDefault="00C30876" w:rsidP="00C30876">
      <w:pPr>
        <w:pStyle w:val="3GPPHeader"/>
      </w:pPr>
      <w:r w:rsidRPr="004D1DC2">
        <w:t>Spokane, USA, November 12th – 16th, 2018</w:t>
      </w:r>
    </w:p>
    <w:bookmarkEnd w:id="1"/>
    <w:p w14:paraId="54B9A8A9" w14:textId="77777777" w:rsidR="002D43A9" w:rsidRPr="004D1DC2" w:rsidRDefault="002D43A9" w:rsidP="002D43A9">
      <w:pPr>
        <w:pStyle w:val="3GPPHeader"/>
      </w:pPr>
    </w:p>
    <w:p w14:paraId="718839F4" w14:textId="4401441D" w:rsidR="002D43A9" w:rsidRPr="004D1DC2" w:rsidRDefault="002D43A9" w:rsidP="002D43A9">
      <w:pPr>
        <w:pStyle w:val="3GPPHeader"/>
        <w:rPr>
          <w:sz w:val="22"/>
          <w:szCs w:val="22"/>
          <w:lang w:val="en-US"/>
        </w:rPr>
      </w:pPr>
      <w:r w:rsidRPr="004D1DC2">
        <w:rPr>
          <w:sz w:val="22"/>
          <w:szCs w:val="22"/>
          <w:lang w:val="en-US"/>
        </w:rPr>
        <w:t>Agenda Item:</w:t>
      </w:r>
      <w:r w:rsidRPr="004D1DC2">
        <w:rPr>
          <w:sz w:val="22"/>
          <w:szCs w:val="22"/>
          <w:lang w:val="en-US"/>
        </w:rPr>
        <w:tab/>
      </w:r>
      <w:r w:rsidR="004A64E5" w:rsidRPr="004D1DC2">
        <w:rPr>
          <w:sz w:val="22"/>
          <w:szCs w:val="22"/>
          <w:lang w:val="en-US"/>
        </w:rPr>
        <w:t>7.2.2.4.3</w:t>
      </w:r>
    </w:p>
    <w:p w14:paraId="12242853" w14:textId="77777777" w:rsidR="002D43A9" w:rsidRPr="004D1DC2" w:rsidRDefault="002D43A9" w:rsidP="002D43A9">
      <w:pPr>
        <w:pStyle w:val="3GPPHeader"/>
        <w:rPr>
          <w:sz w:val="22"/>
          <w:szCs w:val="22"/>
        </w:rPr>
      </w:pPr>
      <w:r w:rsidRPr="004D1DC2">
        <w:rPr>
          <w:sz w:val="22"/>
          <w:szCs w:val="22"/>
        </w:rPr>
        <w:t>Source:</w:t>
      </w:r>
      <w:r w:rsidRPr="004D1DC2">
        <w:rPr>
          <w:sz w:val="22"/>
          <w:szCs w:val="22"/>
        </w:rPr>
        <w:tab/>
        <w:t>Ericsson</w:t>
      </w:r>
    </w:p>
    <w:p w14:paraId="2467EAC2" w14:textId="7C09B851" w:rsidR="00E90E49" w:rsidRPr="004D1DC2" w:rsidRDefault="003D3C45" w:rsidP="00C30876">
      <w:pPr>
        <w:pStyle w:val="3GPPHeader"/>
        <w:rPr>
          <w:sz w:val="22"/>
          <w:szCs w:val="22"/>
        </w:rPr>
      </w:pPr>
      <w:r w:rsidRPr="004D1DC2">
        <w:rPr>
          <w:sz w:val="22"/>
          <w:szCs w:val="22"/>
        </w:rPr>
        <w:t>Title:</w:t>
      </w:r>
      <w:r w:rsidR="00E90E49" w:rsidRPr="004D1DC2">
        <w:rPr>
          <w:sz w:val="22"/>
          <w:szCs w:val="22"/>
        </w:rPr>
        <w:tab/>
      </w:r>
      <w:r w:rsidR="00C30876" w:rsidRPr="004D1DC2">
        <w:rPr>
          <w:sz w:val="22"/>
          <w:szCs w:val="22"/>
        </w:rPr>
        <w:t>Potential HARQ enhancements for NR-U</w:t>
      </w:r>
    </w:p>
    <w:p w14:paraId="41A5EA0B" w14:textId="77777777" w:rsidR="00E90E49" w:rsidRPr="00CE0424" w:rsidRDefault="00E90E49" w:rsidP="00D546FF">
      <w:pPr>
        <w:pStyle w:val="3GPPHeader"/>
        <w:rPr>
          <w:sz w:val="22"/>
          <w:szCs w:val="22"/>
        </w:rPr>
      </w:pPr>
      <w:r w:rsidRPr="004D1DC2">
        <w:rPr>
          <w:sz w:val="22"/>
          <w:szCs w:val="22"/>
        </w:rPr>
        <w:t>Document for:</w:t>
      </w:r>
      <w:r w:rsidRPr="004D1DC2">
        <w:rPr>
          <w:sz w:val="22"/>
          <w:szCs w:val="22"/>
        </w:rPr>
        <w:tab/>
        <w:t>Discussion, Decision</w:t>
      </w:r>
    </w:p>
    <w:p w14:paraId="15109279" w14:textId="77777777" w:rsidR="00E90E49" w:rsidRPr="00CE0424" w:rsidRDefault="00E90E49" w:rsidP="00E90E49"/>
    <w:p w14:paraId="1FE6339F" w14:textId="77777777" w:rsidR="00F7529C" w:rsidRDefault="00E90E49" w:rsidP="001A7386">
      <w:pPr>
        <w:pStyle w:val="Heading1"/>
        <w:numPr>
          <w:ilvl w:val="0"/>
          <w:numId w:val="14"/>
        </w:numPr>
      </w:pPr>
      <w:r w:rsidRPr="00CE0424">
        <w:t>Introduction</w:t>
      </w:r>
    </w:p>
    <w:p w14:paraId="601D1B99" w14:textId="18917946" w:rsidR="002C198E" w:rsidRPr="004150C4" w:rsidRDefault="002C198E" w:rsidP="004150C4">
      <w:pPr>
        <w:pStyle w:val="BodyText"/>
      </w:pPr>
      <w:r w:rsidRPr="004150C4">
        <w:t>In this contribution, we provide our view on possible HARQ related issues that should be address when designing HARQ enhancements for NR-U operation</w:t>
      </w:r>
      <w:r w:rsidR="004C5484" w:rsidRPr="004150C4">
        <w:t xml:space="preserve"> and also on multi-TTI scheduling. </w:t>
      </w:r>
    </w:p>
    <w:p w14:paraId="0C7E81CC" w14:textId="540B1CA6" w:rsidR="004000E8" w:rsidRDefault="00230D18" w:rsidP="00CE0424">
      <w:pPr>
        <w:pStyle w:val="Heading1"/>
      </w:pPr>
      <w:bookmarkStart w:id="3" w:name="_Ref178064866"/>
      <w:r>
        <w:t>2</w:t>
      </w:r>
      <w:r>
        <w:tab/>
      </w:r>
      <w:r w:rsidR="004000E8" w:rsidRPr="00CE0424">
        <w:t>Discussion</w:t>
      </w:r>
      <w:bookmarkEnd w:id="3"/>
    </w:p>
    <w:p w14:paraId="2CC59B3F" w14:textId="30E181FE" w:rsidR="00655DFD" w:rsidRDefault="004150C4" w:rsidP="00803AAF">
      <w:pPr>
        <w:pStyle w:val="Heading2"/>
      </w:pPr>
      <w:r>
        <w:t>2.1</w:t>
      </w:r>
      <w:r>
        <w:tab/>
      </w:r>
      <w:r w:rsidR="00FB212E">
        <w:t>Self-contained COT</w:t>
      </w:r>
    </w:p>
    <w:p w14:paraId="5B47CE7C" w14:textId="2A6D577D" w:rsidR="005867DE" w:rsidRDefault="005867DE" w:rsidP="00C725D8">
      <w:pPr>
        <w:pStyle w:val="BodyText"/>
      </w:pPr>
      <w:r w:rsidRPr="00276224">
        <w:t>NR supports small processing delays, but not as small as providing feedback within the same slot</w:t>
      </w:r>
      <w:r w:rsidR="000B73BD">
        <w:t>, at least for capability 1 UEs</w:t>
      </w:r>
      <w:r w:rsidRPr="00276224">
        <w:t xml:space="preserve">. </w:t>
      </w:r>
      <w:r>
        <w:t>Fo</w:t>
      </w:r>
      <w:r w:rsidRPr="00276224">
        <w:t xml:space="preserve">r instance, with a subcarrier spacing of </w:t>
      </w:r>
      <w:r w:rsidR="00741AA6">
        <w:t>30</w:t>
      </w:r>
      <w:r w:rsidRPr="00276224">
        <w:t xml:space="preserve">KHz, L1 processing delay from end of PDSCH until beginning of PUCCH is minimum </w:t>
      </w:r>
      <w:r w:rsidR="00741AA6">
        <w:t>10</w:t>
      </w:r>
      <w:r w:rsidRPr="00276224">
        <w:t xml:space="preserve"> OFDM symbols assuming capability 1 UE. Therefore, </w:t>
      </w:r>
      <w:r>
        <w:t>t</w:t>
      </w:r>
      <w:r w:rsidRPr="00276224">
        <w:t xml:space="preserve">here will be </w:t>
      </w:r>
      <w:r w:rsidR="00BA69DD">
        <w:t xml:space="preserve">at least </w:t>
      </w:r>
      <w:r w:rsidR="00741AA6">
        <w:t>10</w:t>
      </w:r>
      <w:r w:rsidRPr="00276224">
        <w:t xml:space="preserve"> OFDM symbol gap between the </w:t>
      </w:r>
      <w:r w:rsidR="00741AA6">
        <w:t xml:space="preserve">end of </w:t>
      </w:r>
      <w:r w:rsidRPr="00276224">
        <w:t>PDSCH reception and the corresponding feedback.</w:t>
      </w:r>
      <w:r w:rsidR="00741AA6">
        <w:t xml:space="preserve"> values corresponding to UE capability 1 are listed in Table 1.</w:t>
      </w:r>
      <w:r>
        <w:t xml:space="preserve"> The values for capability 2 UE </w:t>
      </w:r>
      <w:r w:rsidR="00655DFD">
        <w:t xml:space="preserve">are </w:t>
      </w:r>
      <w:r>
        <w:t>lower</w:t>
      </w:r>
      <w:r w:rsidR="00655DFD">
        <w:t>.</w:t>
      </w:r>
    </w:p>
    <w:p w14:paraId="66DE9E20" w14:textId="120D8CFD" w:rsidR="00FF768A" w:rsidRDefault="00FF768A" w:rsidP="00C725D8">
      <w:pPr>
        <w:pStyle w:val="Caption"/>
        <w:keepNext/>
        <w:jc w:val="center"/>
      </w:pPr>
      <w:r>
        <w:t xml:space="preserve">Table </w:t>
      </w:r>
      <w:r w:rsidR="00985DA0">
        <w:rPr>
          <w:rFonts w:ascii="Arial" w:hAnsi="Arial"/>
          <w:noProof/>
          <w:sz w:val="32"/>
        </w:rPr>
        <w:fldChar w:fldCharType="begin"/>
      </w:r>
      <w:r w:rsidR="00985DA0">
        <w:rPr>
          <w:noProof/>
        </w:rPr>
        <w:instrText xml:space="preserve"> SEQ Table \* ARABIC </w:instrText>
      </w:r>
      <w:r w:rsidR="00985DA0">
        <w:rPr>
          <w:rFonts w:ascii="Arial" w:hAnsi="Arial"/>
          <w:noProof/>
          <w:sz w:val="32"/>
        </w:rPr>
        <w:fldChar w:fldCharType="separate"/>
      </w:r>
      <w:r w:rsidR="00117344">
        <w:rPr>
          <w:noProof/>
        </w:rPr>
        <w:t>1</w:t>
      </w:r>
      <w:r w:rsidR="00985DA0">
        <w:rPr>
          <w:rFonts w:ascii="Arial" w:hAnsi="Arial"/>
          <w:noProof/>
          <w:sz w:val="32"/>
        </w:rPr>
        <w:fldChar w:fldCharType="end"/>
      </w:r>
      <w:r>
        <w:rPr>
          <w:lang w:val="en-US"/>
        </w:rPr>
        <w:t>: processing delays for a Capability 1 UE</w:t>
      </w:r>
    </w:p>
    <w:tbl>
      <w:tblPr>
        <w:tblW w:w="9637" w:type="dxa"/>
        <w:tblCellMar>
          <w:left w:w="0" w:type="dxa"/>
          <w:right w:w="0" w:type="dxa"/>
        </w:tblCellMar>
        <w:tblLook w:val="04A0" w:firstRow="1" w:lastRow="0" w:firstColumn="1" w:lastColumn="0" w:noHBand="0" w:noVBand="1"/>
      </w:tblPr>
      <w:tblGrid>
        <w:gridCol w:w="4024"/>
        <w:gridCol w:w="1871"/>
        <w:gridCol w:w="1871"/>
        <w:gridCol w:w="1871"/>
      </w:tblGrid>
      <w:tr w:rsidR="00870F47" w:rsidRPr="00870F47" w14:paraId="5C9A9CD9" w14:textId="615C37E5" w:rsidTr="00741AA6">
        <w:trPr>
          <w:trHeight w:val="292"/>
        </w:trPr>
        <w:tc>
          <w:tcPr>
            <w:tcW w:w="4024"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6C954E89" w14:textId="1F616CEF" w:rsidR="00870F47" w:rsidRPr="00870F47" w:rsidRDefault="00870F47" w:rsidP="00C725D8">
            <w:pPr>
              <w:pStyle w:val="BodyText"/>
              <w:rPr>
                <w:lang w:val="en-US"/>
              </w:rPr>
            </w:pPr>
            <w:r w:rsidRPr="00870F47">
              <w:t>PDSCH Configuration</w:t>
            </w:r>
          </w:p>
        </w:tc>
        <w:tc>
          <w:tcPr>
            <w:tcW w:w="187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36F2CD30" w14:textId="568C78FC" w:rsidR="00870F47" w:rsidRPr="00870F47" w:rsidRDefault="00870F47" w:rsidP="00C725D8">
            <w:pPr>
              <w:pStyle w:val="BodyText"/>
              <w:rPr>
                <w:lang w:val="en-US"/>
              </w:rPr>
            </w:pPr>
            <w:r w:rsidRPr="00870F47">
              <w:t>HARQ Timing</w:t>
            </w:r>
          </w:p>
        </w:tc>
        <w:tc>
          <w:tcPr>
            <w:tcW w:w="187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4492E2BD" w14:textId="31D9DB30" w:rsidR="00870F47" w:rsidRPr="00870F47" w:rsidRDefault="00870F47" w:rsidP="00C725D8">
            <w:pPr>
              <w:pStyle w:val="BodyText"/>
              <w:rPr>
                <w:lang w:val="en-US"/>
              </w:rPr>
            </w:pPr>
            <w:r w:rsidRPr="00870F47">
              <w:t>30 kHz SCS</w:t>
            </w:r>
          </w:p>
        </w:tc>
        <w:tc>
          <w:tcPr>
            <w:tcW w:w="187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521155EF" w14:textId="49AF339F" w:rsidR="00870F47" w:rsidRPr="00870F47" w:rsidRDefault="00870F47" w:rsidP="00C725D8">
            <w:pPr>
              <w:pStyle w:val="BodyText"/>
              <w:rPr>
                <w:lang w:val="en-US"/>
              </w:rPr>
            </w:pPr>
            <w:r w:rsidRPr="00870F47">
              <w:t>60 kHz SCS</w:t>
            </w:r>
          </w:p>
        </w:tc>
      </w:tr>
      <w:tr w:rsidR="00870F47" w:rsidRPr="00870F47" w14:paraId="43295B78" w14:textId="24B71117" w:rsidTr="00741AA6">
        <w:trPr>
          <w:trHeight w:val="292"/>
        </w:trPr>
        <w:tc>
          <w:tcPr>
            <w:tcW w:w="4024"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328025F2" w14:textId="0F0FBEFB" w:rsidR="00870F47" w:rsidRPr="00870F47" w:rsidRDefault="00870F47" w:rsidP="00C725D8">
            <w:pPr>
              <w:pStyle w:val="BodyText"/>
              <w:rPr>
                <w:lang w:val="en-US"/>
              </w:rPr>
            </w:pPr>
            <w:r w:rsidRPr="00870F47">
              <w:t>Front-loaded DMRS only</w:t>
            </w:r>
          </w:p>
        </w:tc>
        <w:tc>
          <w:tcPr>
            <w:tcW w:w="187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793C8B14" w14:textId="29AA3AA9" w:rsidR="00870F47" w:rsidRPr="00870F47" w:rsidRDefault="00870F47" w:rsidP="00C725D8">
            <w:pPr>
              <w:pStyle w:val="BodyText"/>
              <w:rPr>
                <w:lang w:val="en-US"/>
              </w:rPr>
            </w:pPr>
            <w:r w:rsidRPr="00870F47">
              <w:t>N1</w:t>
            </w:r>
          </w:p>
        </w:tc>
        <w:tc>
          <w:tcPr>
            <w:tcW w:w="187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6749DAD7" w14:textId="4C245215" w:rsidR="00870F47" w:rsidRPr="00870F47" w:rsidRDefault="00870F47" w:rsidP="00C725D8">
            <w:pPr>
              <w:pStyle w:val="BodyText"/>
              <w:rPr>
                <w:lang w:val="en-US"/>
              </w:rPr>
            </w:pPr>
            <w:r w:rsidRPr="00870F47">
              <w:t>10</w:t>
            </w:r>
          </w:p>
        </w:tc>
        <w:tc>
          <w:tcPr>
            <w:tcW w:w="187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175D534F" w14:textId="14EB5F63" w:rsidR="00870F47" w:rsidRPr="00870F47" w:rsidRDefault="00870F47" w:rsidP="00C725D8">
            <w:pPr>
              <w:pStyle w:val="BodyText"/>
              <w:rPr>
                <w:lang w:val="en-US"/>
              </w:rPr>
            </w:pPr>
            <w:r w:rsidRPr="00870F47">
              <w:t>17</w:t>
            </w:r>
          </w:p>
        </w:tc>
      </w:tr>
      <w:tr w:rsidR="00870F47" w:rsidRPr="00870F47" w14:paraId="67154F8D" w14:textId="25588C60" w:rsidTr="00741AA6">
        <w:trPr>
          <w:trHeight w:val="292"/>
        </w:trPr>
        <w:tc>
          <w:tcPr>
            <w:tcW w:w="4024"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24A6D90C" w14:textId="001963D2" w:rsidR="00870F47" w:rsidRPr="00870F47" w:rsidRDefault="00870F47" w:rsidP="00C725D8">
            <w:pPr>
              <w:pStyle w:val="BodyText"/>
              <w:rPr>
                <w:lang w:val="en-US"/>
              </w:rPr>
            </w:pPr>
            <w:r w:rsidRPr="00870F47">
              <w:t>Front-loaded + additional DMRS</w:t>
            </w:r>
          </w:p>
        </w:tc>
        <w:tc>
          <w:tcPr>
            <w:tcW w:w="187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2FE15BA8" w14:textId="395B16D5" w:rsidR="00870F47" w:rsidRPr="00870F47" w:rsidRDefault="00870F47" w:rsidP="00C725D8">
            <w:pPr>
              <w:pStyle w:val="BodyText"/>
              <w:rPr>
                <w:lang w:val="en-US"/>
              </w:rPr>
            </w:pPr>
            <w:r w:rsidRPr="00870F47">
              <w:t>N1</w:t>
            </w:r>
          </w:p>
        </w:tc>
        <w:tc>
          <w:tcPr>
            <w:tcW w:w="187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7613CAF2" w14:textId="4F95C152" w:rsidR="00870F47" w:rsidRPr="00870F47" w:rsidRDefault="00870F47" w:rsidP="00C725D8">
            <w:pPr>
              <w:pStyle w:val="BodyText"/>
              <w:rPr>
                <w:lang w:val="en-US"/>
              </w:rPr>
            </w:pPr>
            <w:r w:rsidRPr="00870F47">
              <w:t>13</w:t>
            </w:r>
          </w:p>
        </w:tc>
        <w:tc>
          <w:tcPr>
            <w:tcW w:w="187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705D963B" w14:textId="38B57BBB" w:rsidR="00870F47" w:rsidRPr="00870F47" w:rsidRDefault="00870F47" w:rsidP="00C725D8">
            <w:pPr>
              <w:pStyle w:val="BodyText"/>
              <w:rPr>
                <w:lang w:val="en-US"/>
              </w:rPr>
            </w:pPr>
            <w:r w:rsidRPr="00870F47">
              <w:t>20</w:t>
            </w:r>
          </w:p>
        </w:tc>
      </w:tr>
      <w:tr w:rsidR="00870F47" w:rsidRPr="00870F47" w14:paraId="3FAB7F55" w14:textId="50AA0C37" w:rsidTr="00741AA6">
        <w:trPr>
          <w:trHeight w:val="292"/>
        </w:trPr>
        <w:tc>
          <w:tcPr>
            <w:tcW w:w="4024"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3799C8F6" w14:textId="24B197D6" w:rsidR="00870F47" w:rsidRPr="00870F47" w:rsidRDefault="00870F47" w:rsidP="00C725D8">
            <w:pPr>
              <w:pStyle w:val="BodyText"/>
              <w:rPr>
                <w:lang w:val="en-US"/>
              </w:rPr>
            </w:pPr>
            <w:r w:rsidRPr="00870F47">
              <w:t>Frequency-first RE-mapping</w:t>
            </w:r>
          </w:p>
        </w:tc>
        <w:tc>
          <w:tcPr>
            <w:tcW w:w="187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21BF5F0F" w14:textId="36B79C8A" w:rsidR="00870F47" w:rsidRPr="00870F47" w:rsidRDefault="00870F47" w:rsidP="00C725D8">
            <w:pPr>
              <w:pStyle w:val="BodyText"/>
              <w:rPr>
                <w:lang w:val="en-US"/>
              </w:rPr>
            </w:pPr>
            <w:r w:rsidRPr="00870F47">
              <w:t>N2</w:t>
            </w:r>
          </w:p>
        </w:tc>
        <w:tc>
          <w:tcPr>
            <w:tcW w:w="187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535E9AB4" w14:textId="57BFD4A3" w:rsidR="00870F47" w:rsidRPr="00870F47" w:rsidRDefault="00870F47" w:rsidP="00C725D8">
            <w:pPr>
              <w:pStyle w:val="BodyText"/>
              <w:rPr>
                <w:lang w:val="en-US"/>
              </w:rPr>
            </w:pPr>
            <w:r w:rsidRPr="00870F47">
              <w:t>12</w:t>
            </w:r>
          </w:p>
        </w:tc>
        <w:tc>
          <w:tcPr>
            <w:tcW w:w="187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6F61DF3A" w14:textId="346CE56B" w:rsidR="00870F47" w:rsidRPr="00870F47" w:rsidRDefault="00870F47" w:rsidP="00C725D8">
            <w:pPr>
              <w:pStyle w:val="BodyText"/>
              <w:rPr>
                <w:lang w:val="en-US"/>
              </w:rPr>
            </w:pPr>
            <w:r w:rsidRPr="00870F47">
              <w:t>23</w:t>
            </w:r>
          </w:p>
        </w:tc>
      </w:tr>
      <w:tr w:rsidR="00741AA6" w:rsidRPr="00870F47" w14:paraId="2AAB0373" w14:textId="6DE5C592" w:rsidTr="00741AA6">
        <w:trPr>
          <w:trHeight w:val="292"/>
        </w:trPr>
        <w:tc>
          <w:tcPr>
            <w:tcW w:w="9637" w:type="dxa"/>
            <w:gridSpan w:val="4"/>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tcPr>
          <w:p w14:paraId="7CED3520" w14:textId="6B3407B4" w:rsidR="00741AA6" w:rsidRPr="00741AA6" w:rsidRDefault="00741AA6" w:rsidP="00C725D8">
            <w:pPr>
              <w:pStyle w:val="BodyText"/>
              <w:rPr>
                <w:lang w:val="en-US"/>
              </w:rPr>
            </w:pPr>
            <w:r w:rsidRPr="00741AA6">
              <w:t>N1: # of OFDM symbols from end of PDSCH until beginning of PUCCH</w:t>
            </w:r>
          </w:p>
          <w:p w14:paraId="3096F7BE" w14:textId="450BB9DA" w:rsidR="00741AA6" w:rsidRPr="00741AA6" w:rsidRDefault="00741AA6" w:rsidP="00C725D8">
            <w:pPr>
              <w:pStyle w:val="BodyText"/>
              <w:rPr>
                <w:lang w:val="en-US"/>
              </w:rPr>
            </w:pPr>
            <w:r w:rsidRPr="00741AA6">
              <w:t>N2: # of OFDM symbols from end of PDCCH (UL grant) until beginning of PUSCH</w:t>
            </w:r>
          </w:p>
        </w:tc>
      </w:tr>
    </w:tbl>
    <w:p w14:paraId="6E5B8965" w14:textId="22D96907" w:rsidR="00DF39B9" w:rsidRDefault="00DF39B9" w:rsidP="00C725D8">
      <w:pPr>
        <w:pStyle w:val="BodyText"/>
      </w:pPr>
    </w:p>
    <w:p w14:paraId="6CC95584" w14:textId="6700DCEA" w:rsidR="005867DE" w:rsidRDefault="005867DE" w:rsidP="00C725D8">
      <w:pPr>
        <w:pStyle w:val="BodyText"/>
      </w:pPr>
      <w:r>
        <w:t xml:space="preserve">Accordingly, </w:t>
      </w:r>
      <w:r w:rsidR="00FF768A">
        <w:t>F</w:t>
      </w:r>
      <w:r>
        <w:t>igure</w:t>
      </w:r>
      <w:r w:rsidR="004C5484">
        <w:t xml:space="preserve"> 1</w:t>
      </w:r>
      <w:r>
        <w:t xml:space="preserve"> shows an example where the feedback at </w:t>
      </w:r>
      <w:r w:rsidR="00741AA6">
        <w:t xml:space="preserve">n-1 cannot be included in the feedback in slot n if subcarrier spacing 30KHz is used. </w:t>
      </w:r>
      <w:r w:rsidR="00FF768A">
        <w:t>I</w:t>
      </w:r>
      <w:r w:rsidR="00741AA6">
        <w:t>n case of 60KHz SCS, both n-1 and n-2 cannot be included.</w:t>
      </w:r>
      <w:r>
        <w:t xml:space="preserve"> </w:t>
      </w:r>
    </w:p>
    <w:p w14:paraId="0817A96B" w14:textId="35C09435" w:rsidR="00FF768A" w:rsidRDefault="00741AA6" w:rsidP="00C725D8">
      <w:pPr>
        <w:pStyle w:val="BodyText"/>
        <w:keepNext/>
        <w:jc w:val="center"/>
      </w:pPr>
      <w:r>
        <w:rPr>
          <w:noProof/>
          <w:sz w:val="32"/>
        </w:rPr>
        <w:lastRenderedPageBreak/>
        <w:drawing>
          <wp:inline distT="0" distB="0" distL="0" distR="0" wp14:anchorId="30D489FF" wp14:editId="51A3EEE4">
            <wp:extent cx="2843434" cy="2215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6860" cy="2217918"/>
                    </a:xfrm>
                    <a:prstGeom prst="rect">
                      <a:avLst/>
                    </a:prstGeom>
                    <a:noFill/>
                  </pic:spPr>
                </pic:pic>
              </a:graphicData>
            </a:graphic>
          </wp:inline>
        </w:drawing>
      </w:r>
    </w:p>
    <w:p w14:paraId="7C0DA3D5" w14:textId="4EA9E2F8" w:rsidR="003D2D90" w:rsidRDefault="00FF768A" w:rsidP="00C725D8">
      <w:pPr>
        <w:pStyle w:val="Caption"/>
        <w:jc w:val="center"/>
      </w:pPr>
      <w:r>
        <w:t xml:space="preserve">Figure </w:t>
      </w:r>
      <w:r w:rsidR="00985DA0">
        <w:rPr>
          <w:rFonts w:ascii="Arial" w:hAnsi="Arial"/>
          <w:noProof/>
          <w:sz w:val="32"/>
        </w:rPr>
        <w:fldChar w:fldCharType="begin"/>
      </w:r>
      <w:r w:rsidR="00985DA0">
        <w:rPr>
          <w:noProof/>
        </w:rPr>
        <w:instrText xml:space="preserve"> SEQ Figure \* ARABIC </w:instrText>
      </w:r>
      <w:r w:rsidR="00985DA0">
        <w:rPr>
          <w:rFonts w:ascii="Arial" w:hAnsi="Arial"/>
          <w:noProof/>
          <w:sz w:val="32"/>
        </w:rPr>
        <w:fldChar w:fldCharType="separate"/>
      </w:r>
      <w:r w:rsidR="00117344">
        <w:rPr>
          <w:noProof/>
        </w:rPr>
        <w:t>1</w:t>
      </w:r>
      <w:r w:rsidR="00985DA0">
        <w:rPr>
          <w:rFonts w:ascii="Arial" w:hAnsi="Arial"/>
          <w:noProof/>
          <w:sz w:val="32"/>
        </w:rPr>
        <w:fldChar w:fldCharType="end"/>
      </w:r>
      <w:r>
        <w:rPr>
          <w:lang w:val="en-US"/>
        </w:rPr>
        <w:t xml:space="preserve">: </w:t>
      </w:r>
      <w:r w:rsidR="008D256D">
        <w:rPr>
          <w:lang w:val="en-US"/>
        </w:rPr>
        <w:t xml:space="preserve">Impact of processing delays on the HARQ feedback </w:t>
      </w:r>
    </w:p>
    <w:p w14:paraId="299A4D53" w14:textId="66751889" w:rsidR="003D2D90" w:rsidRDefault="003D2D90" w:rsidP="00C725D8">
      <w:pPr>
        <w:pStyle w:val="BodyText"/>
        <w:jc w:val="center"/>
      </w:pPr>
    </w:p>
    <w:p w14:paraId="43D322E7" w14:textId="2383124C" w:rsidR="00E641FD" w:rsidRDefault="00C95E61" w:rsidP="00E641FD">
      <w:pPr>
        <w:pStyle w:val="BodyText"/>
      </w:pPr>
      <w:r>
        <w:t>It</w:t>
      </w:r>
      <w:r w:rsidR="005867DE">
        <w:t xml:space="preserve"> highly beneficial to maximize the chances that the feedback of all the transmissions within a certain transmit opportunity</w:t>
      </w:r>
      <w:r w:rsidR="00EC3D8F">
        <w:t xml:space="preserve"> is</w:t>
      </w:r>
      <w:r w:rsidR="005867DE">
        <w:t xml:space="preserve"> self-contained within the same channel occupancy</w:t>
      </w:r>
      <w:r w:rsidR="00EC3D8F">
        <w:t xml:space="preserve">, of course while still fulfilling </w:t>
      </w:r>
      <w:r w:rsidR="005867DE">
        <w:t>regulatory</w:t>
      </w:r>
      <w:r w:rsidR="003D2D90">
        <w:t xml:space="preserve"> requirements</w:t>
      </w:r>
      <w:r w:rsidR="005867DE">
        <w:t xml:space="preserve">. </w:t>
      </w:r>
      <w:r w:rsidR="00970CD7">
        <w:t>Lack of feedback, or delayed feedback significantly impact the overall performance in terms of UE’s throughput and also in terms of inefficient us</w:t>
      </w:r>
      <w:r w:rsidR="00EC3D8F">
        <w:t>e</w:t>
      </w:r>
      <w:r w:rsidR="00970CD7">
        <w:t xml:space="preserve"> of the channel if </w:t>
      </w:r>
      <w:r w:rsidR="00B654B1">
        <w:t xml:space="preserve">the </w:t>
      </w:r>
      <w:r w:rsidR="008E37F7">
        <w:t>delayed feedback</w:t>
      </w:r>
      <w:r w:rsidR="00B654B1">
        <w:t xml:space="preserve"> </w:t>
      </w:r>
      <w:r w:rsidR="00970CD7">
        <w:t xml:space="preserve">trigger unnecessary retransmissions. </w:t>
      </w:r>
      <w:r w:rsidR="00FF768A">
        <w:t>E</w:t>
      </w:r>
      <w:r w:rsidR="004964B5">
        <w:t xml:space="preserve">ven if multiple switching points within a COT is supported for NR-U, there will </w:t>
      </w:r>
      <w:r w:rsidR="00FF768A">
        <w:t>still be</w:t>
      </w:r>
      <w:r w:rsidR="004964B5">
        <w:t xml:space="preserve"> case</w:t>
      </w:r>
      <w:r w:rsidR="00B93A2C">
        <w:t>s</w:t>
      </w:r>
      <w:r w:rsidR="004964B5">
        <w:t xml:space="preserve"> </w:t>
      </w:r>
      <w:r w:rsidR="00B93A2C">
        <w:t>where the</w:t>
      </w:r>
      <w:r w:rsidR="004964B5">
        <w:t xml:space="preserve"> PDSCH(s) transmission </w:t>
      </w:r>
      <w:r w:rsidR="00B93A2C">
        <w:t xml:space="preserve">immediately before the last scheduled PUCCH cannot </w:t>
      </w:r>
      <w:r w:rsidR="00B93A2C" w:rsidRPr="00DF39B9">
        <w:t xml:space="preserve">be included unless </w:t>
      </w:r>
      <w:r w:rsidR="00C725D8">
        <w:t xml:space="preserve">there is enough time to process the PDSCH transmission before the feedback transmission. The </w:t>
      </w:r>
      <w:proofErr w:type="spellStart"/>
      <w:r w:rsidR="00C725D8">
        <w:t>gNB</w:t>
      </w:r>
      <w:proofErr w:type="spellEnd"/>
      <w:r w:rsidR="00C725D8">
        <w:t xml:space="preserve"> can accommodate for the PDSCH processing delay by scheduling signals </w:t>
      </w:r>
      <w:bookmarkStart w:id="4" w:name="_Toc520912652"/>
      <w:r w:rsidR="00C725D8">
        <w:t>that do not require HARQ feedback from the UE</w:t>
      </w:r>
      <w:r w:rsidR="00E641FD">
        <w:t xml:space="preserve"> between the </w:t>
      </w:r>
      <w:r>
        <w:t xml:space="preserve">last </w:t>
      </w:r>
      <w:r w:rsidR="00E641FD">
        <w:t>PDSCH reception and the scheduled feedback within the same COT</w:t>
      </w:r>
      <w:r w:rsidR="00C725D8">
        <w:t>. Such signals</w:t>
      </w:r>
      <w:r>
        <w:t>/channels</w:t>
      </w:r>
      <w:r w:rsidR="00C725D8">
        <w:t xml:space="preserve"> include PUSCH, SRS,</w:t>
      </w:r>
      <w:r w:rsidR="00C725D8" w:rsidRPr="00C725D8">
        <w:t xml:space="preserve"> </w:t>
      </w:r>
      <w:r>
        <w:t xml:space="preserve">DMRS </w:t>
      </w:r>
      <w:r w:rsidR="00C725D8">
        <w:t>system information or other broadcast information, etc</w:t>
      </w:r>
      <w:r w:rsidR="00E641FD">
        <w:t>.</w:t>
      </w:r>
      <w:r>
        <w:t xml:space="preserve"> Some changes might be needed to allow transmissions of those signal dynamically. However, the exact changes depend on the supported format, length, and location of the NR-U control signals/channels.</w:t>
      </w:r>
    </w:p>
    <w:p w14:paraId="307CAD60" w14:textId="7661BCBB" w:rsidR="00DF39B9" w:rsidRDefault="00E641FD" w:rsidP="00C725D8">
      <w:pPr>
        <w:pStyle w:val="BodyText"/>
      </w:pPr>
      <w:r>
        <w:t>Besides</w:t>
      </w:r>
      <w:r w:rsidR="004A64E5" w:rsidRPr="00DF39B9">
        <w:t xml:space="preserve">, </w:t>
      </w:r>
      <w:r w:rsidR="00DF39B9" w:rsidRPr="00DF39B9">
        <w:t>Capability #2 UE support</w:t>
      </w:r>
      <w:r w:rsidR="00DF39B9">
        <w:t>s</w:t>
      </w:r>
      <w:r w:rsidR="00DF39B9" w:rsidRPr="00DF39B9">
        <w:t xml:space="preserve"> N1 = 4.5 symbols for 30KHz subcarrier spacing making self-contained COT easier to achieve.</w:t>
      </w:r>
    </w:p>
    <w:p w14:paraId="74D17B6F" w14:textId="36672F5C" w:rsidR="00C725D8" w:rsidRDefault="00C725D8" w:rsidP="00C725D8">
      <w:pPr>
        <w:pStyle w:val="Observation"/>
      </w:pPr>
      <w:bookmarkStart w:id="5" w:name="_Toc528683683"/>
      <w:r>
        <w:t xml:space="preserve">It is easier to achieve </w:t>
      </w:r>
      <w:r w:rsidR="00DF39B9" w:rsidRPr="00DF39B9">
        <w:t xml:space="preserve">Self-contained COT </w:t>
      </w:r>
      <w:r>
        <w:t>using capability #2 UE.</w:t>
      </w:r>
      <w:bookmarkEnd w:id="5"/>
      <w:r>
        <w:t xml:space="preserve"> </w:t>
      </w:r>
    </w:p>
    <w:p w14:paraId="4C4D572D" w14:textId="7A130BB8" w:rsidR="00C725D8" w:rsidRPr="00DF39B9" w:rsidRDefault="00E641FD" w:rsidP="00C33D2A">
      <w:pPr>
        <w:pStyle w:val="Observation"/>
      </w:pPr>
      <w:bookmarkStart w:id="6" w:name="_Toc528683684"/>
      <w:r>
        <w:t xml:space="preserve">The </w:t>
      </w:r>
      <w:proofErr w:type="spellStart"/>
      <w:r>
        <w:t>gNB</w:t>
      </w:r>
      <w:proofErr w:type="spellEnd"/>
      <w:r>
        <w:t xml:space="preserve"> can accommodate for the PDSCH processing delay, by scheduling signals that do not require HARQ feedback between the </w:t>
      </w:r>
      <w:r w:rsidR="00C95E61">
        <w:t xml:space="preserve">last </w:t>
      </w:r>
      <w:r>
        <w:t>PDSCH reception and the scheduled feedback within the same COT</w:t>
      </w:r>
      <w:r w:rsidR="00C95E61">
        <w:t>.</w:t>
      </w:r>
      <w:bookmarkEnd w:id="6"/>
    </w:p>
    <w:bookmarkEnd w:id="4"/>
    <w:p w14:paraId="3BEA98A9" w14:textId="33344235" w:rsidR="006D7B1E" w:rsidRPr="00760BD0" w:rsidRDefault="00B654B1" w:rsidP="00C33D2A">
      <w:pPr>
        <w:pStyle w:val="Heading2"/>
      </w:pPr>
      <w:r>
        <w:t>2.</w:t>
      </w:r>
      <w:r w:rsidR="00BE135D">
        <w:t>2</w:t>
      </w:r>
      <w:r w:rsidR="004431C8">
        <w:tab/>
      </w:r>
      <w:r>
        <w:t xml:space="preserve"> </w:t>
      </w:r>
      <w:r w:rsidR="00D05A02">
        <w:t xml:space="preserve">Enhanced </w:t>
      </w:r>
      <w:r>
        <w:t>Dynamic HARQ codebook</w:t>
      </w:r>
    </w:p>
    <w:p w14:paraId="5B590942" w14:textId="65832D36" w:rsidR="00C06081" w:rsidRDefault="00C06081" w:rsidP="00760BD0">
      <w:pPr>
        <w:jc w:val="both"/>
        <w:rPr>
          <w:rFonts w:asciiTheme="minorBidi" w:hAnsiTheme="minorBidi" w:cstheme="minorBidi"/>
          <w:lang w:val="en-US"/>
        </w:rPr>
      </w:pPr>
      <w:r>
        <w:rPr>
          <w:rFonts w:asciiTheme="minorBidi" w:hAnsiTheme="minorBidi" w:cstheme="minorBidi"/>
          <w:lang w:val="en-US"/>
        </w:rPr>
        <w:t>During RAN1#94</w:t>
      </w:r>
      <w:r w:rsidR="00BE135D">
        <w:rPr>
          <w:rFonts w:asciiTheme="minorBidi" w:hAnsiTheme="minorBidi" w:cstheme="minorBidi"/>
          <w:lang w:val="en-US"/>
        </w:rPr>
        <w:t xml:space="preserve"> [1]</w:t>
      </w:r>
      <w:r>
        <w:rPr>
          <w:rFonts w:asciiTheme="minorBidi" w:hAnsiTheme="minorBidi" w:cstheme="minorBidi"/>
          <w:lang w:val="en-US"/>
        </w:rPr>
        <w:t xml:space="preserve">, the following was agreed: </w:t>
      </w:r>
    </w:p>
    <w:p w14:paraId="041DB708" w14:textId="77777777" w:rsidR="00C06081" w:rsidRDefault="00C06081" w:rsidP="001A7386">
      <w:pPr>
        <w:numPr>
          <w:ilvl w:val="0"/>
          <w:numId w:val="13"/>
        </w:numPr>
        <w:overflowPunct/>
        <w:autoSpaceDE/>
        <w:autoSpaceDN/>
        <w:adjustRightInd/>
        <w:spacing w:after="0"/>
        <w:textAlignment w:val="auto"/>
        <w:rPr>
          <w:lang w:eastAsia="x-none"/>
        </w:rPr>
      </w:pPr>
      <w:r>
        <w:rPr>
          <w:lang w:eastAsia="x-none"/>
        </w:rPr>
        <w:t>HARQ feedback corresponding to PDSCHs of a channel occupancy can be reported outside of that channel occupancy. These possible candidate solutions can be considered:</w:t>
      </w:r>
    </w:p>
    <w:p w14:paraId="03037132" w14:textId="77777777" w:rsidR="00C06081" w:rsidRDefault="00C06081" w:rsidP="001A7386">
      <w:pPr>
        <w:numPr>
          <w:ilvl w:val="1"/>
          <w:numId w:val="13"/>
        </w:numPr>
        <w:overflowPunct/>
        <w:autoSpaceDE/>
        <w:autoSpaceDN/>
        <w:adjustRightInd/>
        <w:spacing w:after="0"/>
        <w:textAlignment w:val="auto"/>
        <w:rPr>
          <w:lang w:eastAsia="x-none"/>
        </w:rPr>
      </w:pPr>
      <w:r>
        <w:rPr>
          <w:lang w:eastAsia="x-none"/>
        </w:rPr>
        <w:t xml:space="preserve">Alt1: </w:t>
      </w:r>
      <w:proofErr w:type="spellStart"/>
      <w:r>
        <w:rPr>
          <w:lang w:eastAsia="x-none"/>
        </w:rPr>
        <w:t>gNB</w:t>
      </w:r>
      <w:proofErr w:type="spellEnd"/>
      <w:r>
        <w:rPr>
          <w:lang w:eastAsia="x-none"/>
        </w:rPr>
        <w:t xml:space="preserve"> requests/triggers feedback for PDSCH from earlier COT(s)</w:t>
      </w:r>
    </w:p>
    <w:p w14:paraId="361A42FD" w14:textId="77777777" w:rsidR="00C06081" w:rsidRDefault="00C06081" w:rsidP="001A7386">
      <w:pPr>
        <w:numPr>
          <w:ilvl w:val="1"/>
          <w:numId w:val="13"/>
        </w:numPr>
        <w:overflowPunct/>
        <w:autoSpaceDE/>
        <w:autoSpaceDN/>
        <w:adjustRightInd/>
        <w:spacing w:after="0"/>
        <w:textAlignment w:val="auto"/>
        <w:rPr>
          <w:lang w:eastAsia="x-none"/>
        </w:rPr>
      </w:pPr>
      <w:r>
        <w:rPr>
          <w:lang w:eastAsia="x-none"/>
        </w:rPr>
        <w:t>Alt2: UE is configured to report HARQ feedback for PDSCH from earlier COT(s) without an explicit request/trigger</w:t>
      </w:r>
    </w:p>
    <w:p w14:paraId="2888A3C1" w14:textId="77777777" w:rsidR="00C06081" w:rsidRDefault="00C06081" w:rsidP="001A7386">
      <w:pPr>
        <w:numPr>
          <w:ilvl w:val="1"/>
          <w:numId w:val="13"/>
        </w:numPr>
        <w:overflowPunct/>
        <w:autoSpaceDE/>
        <w:autoSpaceDN/>
        <w:adjustRightInd/>
        <w:spacing w:after="0"/>
        <w:textAlignment w:val="auto"/>
        <w:rPr>
          <w:lang w:eastAsia="x-none"/>
        </w:rPr>
      </w:pPr>
      <w:r>
        <w:rPr>
          <w:lang w:eastAsia="x-none"/>
        </w:rPr>
        <w:t xml:space="preserve">Alt3: by </w:t>
      </w:r>
      <w:r>
        <w:rPr>
          <w:bCs/>
          <w:lang w:eastAsia="x-none"/>
        </w:rPr>
        <w:t>PDSCH-to-HARQ-timing-indicator in the DCI scheduling the PDSCH</w:t>
      </w:r>
    </w:p>
    <w:p w14:paraId="1CFEE44E" w14:textId="77777777" w:rsidR="00C06081" w:rsidRDefault="00C06081" w:rsidP="001A7386">
      <w:pPr>
        <w:numPr>
          <w:ilvl w:val="1"/>
          <w:numId w:val="13"/>
        </w:numPr>
        <w:overflowPunct/>
        <w:autoSpaceDE/>
        <w:autoSpaceDN/>
        <w:adjustRightInd/>
        <w:spacing w:after="0"/>
        <w:textAlignment w:val="auto"/>
        <w:rPr>
          <w:lang w:eastAsia="x-none"/>
        </w:rPr>
      </w:pPr>
      <w:r>
        <w:rPr>
          <w:bCs/>
          <w:lang w:eastAsia="x-none"/>
        </w:rPr>
        <w:t>Note: the alternatives above are at least applicable for the case where there is no HARQ feedback expected in the same channel occupancy as the PDSCH</w:t>
      </w:r>
    </w:p>
    <w:p w14:paraId="798938DC" w14:textId="34A442AF" w:rsidR="00C06081" w:rsidRPr="00C06081" w:rsidRDefault="00C06081" w:rsidP="001A7386">
      <w:pPr>
        <w:numPr>
          <w:ilvl w:val="1"/>
          <w:numId w:val="13"/>
        </w:numPr>
        <w:overflowPunct/>
        <w:autoSpaceDE/>
        <w:autoSpaceDN/>
        <w:adjustRightInd/>
        <w:spacing w:after="0"/>
        <w:textAlignment w:val="auto"/>
        <w:rPr>
          <w:lang w:eastAsia="x-none"/>
        </w:rPr>
      </w:pPr>
      <w:r>
        <w:rPr>
          <w:bCs/>
          <w:lang w:eastAsia="x-none"/>
        </w:rPr>
        <w:t>Study the impact of the above candidate solutions on the HARQ codebook</w:t>
      </w:r>
    </w:p>
    <w:p w14:paraId="2FC4C3A8" w14:textId="77777777" w:rsidR="00C06081" w:rsidRDefault="00C06081" w:rsidP="00C33D2A">
      <w:pPr>
        <w:pStyle w:val="ListParagraph"/>
        <w:jc w:val="both"/>
        <w:rPr>
          <w:rFonts w:asciiTheme="minorBidi" w:hAnsiTheme="minorBidi" w:cstheme="minorBidi"/>
          <w:sz w:val="20"/>
          <w:szCs w:val="20"/>
          <w:lang w:val="en-US"/>
        </w:rPr>
      </w:pPr>
    </w:p>
    <w:p w14:paraId="69A09979" w14:textId="5245E318" w:rsidR="00C06081" w:rsidRDefault="00C06081" w:rsidP="00C06081">
      <w:pPr>
        <w:jc w:val="both"/>
        <w:rPr>
          <w:rFonts w:asciiTheme="minorBidi" w:hAnsiTheme="minorBidi" w:cstheme="minorBidi"/>
          <w:lang w:val="en-US"/>
        </w:rPr>
      </w:pPr>
      <w:r>
        <w:rPr>
          <w:rFonts w:asciiTheme="minorBidi" w:hAnsiTheme="minorBidi" w:cstheme="minorBidi"/>
          <w:lang w:val="en-US"/>
        </w:rPr>
        <w:t xml:space="preserve">The solution should at least handle the following main issues: </w:t>
      </w:r>
    </w:p>
    <w:p w14:paraId="6488F9FE" w14:textId="3C3F0BE6" w:rsidR="00D05A02" w:rsidRPr="00C33D2A" w:rsidRDefault="00C06081" w:rsidP="001A7386">
      <w:pPr>
        <w:pStyle w:val="ListParagraph"/>
        <w:numPr>
          <w:ilvl w:val="0"/>
          <w:numId w:val="13"/>
        </w:numPr>
        <w:jc w:val="both"/>
        <w:rPr>
          <w:rStyle w:val="IvDbodytextChar"/>
          <w:rFonts w:asciiTheme="minorBidi" w:hAnsiTheme="minorBidi" w:cstheme="minorBidi"/>
          <w:spacing w:val="0"/>
          <w:sz w:val="20"/>
          <w:szCs w:val="20"/>
        </w:rPr>
      </w:pPr>
      <w:r>
        <w:rPr>
          <w:rStyle w:val="IvDbodytextChar"/>
          <w:sz w:val="20"/>
          <w:szCs w:val="20"/>
        </w:rPr>
        <w:t xml:space="preserve">Supplementary feedback occasions: provide the UE with another opportunity to send the failed feedback without additional overhead. </w:t>
      </w:r>
    </w:p>
    <w:p w14:paraId="59B848D3" w14:textId="77777777" w:rsidR="00D05A02" w:rsidRPr="00C33D2A" w:rsidRDefault="00D05A02" w:rsidP="00C33D2A">
      <w:pPr>
        <w:pStyle w:val="ListParagraph"/>
        <w:jc w:val="both"/>
        <w:rPr>
          <w:rStyle w:val="IvDbodytextChar"/>
          <w:rFonts w:asciiTheme="minorBidi" w:hAnsiTheme="minorBidi" w:cstheme="minorBidi"/>
          <w:spacing w:val="0"/>
          <w:sz w:val="20"/>
          <w:szCs w:val="20"/>
        </w:rPr>
      </w:pPr>
    </w:p>
    <w:p w14:paraId="34391611" w14:textId="161F06E0" w:rsidR="00D05A02" w:rsidRPr="004D1DC2" w:rsidRDefault="00D05A02" w:rsidP="004D1DC2">
      <w:pPr>
        <w:pStyle w:val="ListParagraph"/>
        <w:numPr>
          <w:ilvl w:val="0"/>
          <w:numId w:val="13"/>
        </w:numPr>
        <w:jc w:val="both"/>
        <w:rPr>
          <w:rStyle w:val="IvDbodytextChar"/>
          <w:rFonts w:asciiTheme="minorBidi" w:hAnsiTheme="minorBidi" w:cstheme="minorBidi"/>
          <w:spacing w:val="0"/>
          <w:sz w:val="20"/>
          <w:szCs w:val="20"/>
        </w:rPr>
      </w:pPr>
      <w:r w:rsidRPr="00D05A02">
        <w:rPr>
          <w:rStyle w:val="IvDbodytextChar"/>
          <w:sz w:val="20"/>
          <w:szCs w:val="20"/>
        </w:rPr>
        <w:t>T</w:t>
      </w:r>
      <w:r w:rsidR="00C06081" w:rsidRPr="00D05A02">
        <w:rPr>
          <w:rStyle w:val="IvDbodytextChar"/>
          <w:sz w:val="20"/>
          <w:szCs w:val="20"/>
        </w:rPr>
        <w:t xml:space="preserve">he </w:t>
      </w:r>
      <w:proofErr w:type="spellStart"/>
      <w:r w:rsidR="00C06081" w:rsidRPr="00D05A02">
        <w:rPr>
          <w:rStyle w:val="IvDbodytextChar"/>
          <w:sz w:val="20"/>
          <w:szCs w:val="20"/>
        </w:rPr>
        <w:t>gNB</w:t>
      </w:r>
      <w:proofErr w:type="spellEnd"/>
      <w:r w:rsidR="00C06081" w:rsidRPr="00D05A02">
        <w:rPr>
          <w:rStyle w:val="IvDbodytextChar"/>
          <w:sz w:val="20"/>
          <w:szCs w:val="20"/>
        </w:rPr>
        <w:t xml:space="preserve"> cannot distinguish between a failed LBT and a missed PUCCH detection. This will cause misalignment between the expected codebook size by the </w:t>
      </w:r>
      <w:proofErr w:type="spellStart"/>
      <w:r w:rsidR="00C06081" w:rsidRPr="00D05A02">
        <w:rPr>
          <w:rStyle w:val="IvDbodytextChar"/>
          <w:sz w:val="20"/>
          <w:szCs w:val="20"/>
        </w:rPr>
        <w:t>gNB</w:t>
      </w:r>
      <w:proofErr w:type="spellEnd"/>
      <w:r w:rsidR="00C06081" w:rsidRPr="00D05A02">
        <w:rPr>
          <w:rStyle w:val="IvDbodytextChar"/>
          <w:sz w:val="20"/>
          <w:szCs w:val="20"/>
        </w:rPr>
        <w:t xml:space="preserve"> and the actual one sent by the UE. </w:t>
      </w:r>
      <w:r>
        <w:rPr>
          <w:rStyle w:val="IvDbodytextChar"/>
          <w:sz w:val="20"/>
          <w:szCs w:val="20"/>
        </w:rPr>
        <w:lastRenderedPageBreak/>
        <w:t xml:space="preserve">Therefore, NR-U should support </w:t>
      </w:r>
      <w:r>
        <w:rPr>
          <w:rStyle w:val="IvDbodytextChar"/>
          <w:rFonts w:asciiTheme="minorBidi" w:hAnsiTheme="minorBidi" w:cstheme="minorBidi"/>
          <w:spacing w:val="0"/>
          <w:sz w:val="20"/>
          <w:szCs w:val="20"/>
        </w:rPr>
        <w:t xml:space="preserve">including a mechanism to inform the UE if the transmitted feedback was received by the </w:t>
      </w:r>
      <w:proofErr w:type="spellStart"/>
      <w:r>
        <w:rPr>
          <w:rStyle w:val="IvDbodytextChar"/>
          <w:rFonts w:asciiTheme="minorBidi" w:hAnsiTheme="minorBidi" w:cstheme="minorBidi"/>
          <w:spacing w:val="0"/>
          <w:sz w:val="20"/>
          <w:szCs w:val="20"/>
        </w:rPr>
        <w:t>gNB</w:t>
      </w:r>
      <w:proofErr w:type="spellEnd"/>
      <w:r>
        <w:rPr>
          <w:rStyle w:val="IvDbodytextChar"/>
          <w:rFonts w:asciiTheme="minorBidi" w:hAnsiTheme="minorBidi" w:cstheme="minorBidi"/>
          <w:spacing w:val="0"/>
          <w:sz w:val="20"/>
          <w:szCs w:val="20"/>
        </w:rPr>
        <w:t xml:space="preserve"> or not.</w:t>
      </w:r>
    </w:p>
    <w:p w14:paraId="70EB1FB3" w14:textId="68DAFD74" w:rsidR="00D05A02" w:rsidRDefault="00D05A02" w:rsidP="001A7386">
      <w:pPr>
        <w:pStyle w:val="BodyText"/>
        <w:keepLines/>
        <w:numPr>
          <w:ilvl w:val="0"/>
          <w:numId w:val="1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UE refers to the DAI value to calculate the dynamic codebook size. For every PDSCH transmission, the DAI value in the DCI is incremented. The DAI in the DL scheduling DCI should be stepped by one as compared to the </w:t>
      </w:r>
      <w:r w:rsidR="00BE135D">
        <w:t>immediately</w:t>
      </w:r>
      <w:r>
        <w:t xml:space="preserve"> preceding DL scheduling DCI, if difference between the two received DAI values at the UE in current and earlier DCI is higher than 1, it is an indication that PDCCH transmission(s) has been missed. The DAI value in NR rel-15 is only 2-bits, after reaching the highest DAI value (i.e. 4), the value is reset again to the smallest value. This means that if the UE missed 4 or more PDSCH transmission, the UE will not be able to correctly calculate the codebook size, and therefore there will be misalignment between the </w:t>
      </w:r>
      <w:proofErr w:type="spellStart"/>
      <w:r>
        <w:t>gNB’s</w:t>
      </w:r>
      <w:proofErr w:type="spellEnd"/>
      <w:r>
        <w:t xml:space="preserve"> expected codebook size and the reported one by the UE. While missing 4 or more consecutive PDSCH on licensed carrier is unlikely, it is highly likely to happen on an unlicensed band due to collisions and especially for larger SCS where the slot duration is smaller Thereby, the 2-bit DAI will cause an issue. </w:t>
      </w:r>
    </w:p>
    <w:p w14:paraId="53BFA61E" w14:textId="77777777" w:rsidR="00D05A02" w:rsidRDefault="00D05A02" w:rsidP="00C33D2A">
      <w:pPr>
        <w:pStyle w:val="ListParagraph"/>
      </w:pPr>
    </w:p>
    <w:p w14:paraId="062DF235" w14:textId="2DEF148B" w:rsidR="00D05A02" w:rsidRDefault="00D05A02" w:rsidP="00C33D2A">
      <w:pPr>
        <w:pStyle w:val="Proposal"/>
      </w:pPr>
      <w:bookmarkStart w:id="7" w:name="_Toc528949389"/>
      <w:r w:rsidRPr="00C33D2A">
        <w:t xml:space="preserve">Alignment between </w:t>
      </w:r>
      <w:proofErr w:type="spellStart"/>
      <w:r w:rsidRPr="00C33D2A">
        <w:t>gNB</w:t>
      </w:r>
      <w:proofErr w:type="spellEnd"/>
      <w:r w:rsidRPr="00C33D2A">
        <w:t xml:space="preserve"> expected codebook size on UCI and the one reported by the UE even in case of PUCCH misdetection should always be guaranteed.</w:t>
      </w:r>
      <w:bookmarkEnd w:id="7"/>
      <w:r w:rsidRPr="00C33D2A">
        <w:t xml:space="preserve"> </w:t>
      </w:r>
    </w:p>
    <w:p w14:paraId="74C13C74" w14:textId="22D580FD" w:rsidR="00D05A02" w:rsidRDefault="00D05A02" w:rsidP="00D05A02">
      <w:pPr>
        <w:pStyle w:val="ListParagraph"/>
        <w:jc w:val="both"/>
        <w:rPr>
          <w:rStyle w:val="IvDbodytextChar"/>
          <w:rFonts w:asciiTheme="minorBidi" w:hAnsiTheme="minorBidi" w:cstheme="minorBidi"/>
          <w:spacing w:val="0"/>
          <w:sz w:val="20"/>
          <w:szCs w:val="20"/>
        </w:rPr>
      </w:pPr>
    </w:p>
    <w:p w14:paraId="380E1096" w14:textId="7B716CCD" w:rsidR="00D05A02" w:rsidRDefault="00D05A02" w:rsidP="00D05A02">
      <w:pPr>
        <w:pStyle w:val="BodyText"/>
      </w:pPr>
      <w:r>
        <w:t>To eliminate the issues caused by the limited DAI combinations (issue 3), the DAI field in the DCI should be extended to accommodate for possibly missing more than 4 PDCCH transmissions.</w:t>
      </w:r>
    </w:p>
    <w:p w14:paraId="0FBF62D4" w14:textId="4097741A" w:rsidR="00D05A02" w:rsidRPr="00BE135D" w:rsidRDefault="00D05A02" w:rsidP="00BE135D">
      <w:pPr>
        <w:pStyle w:val="Proposal"/>
      </w:pPr>
      <w:bookmarkStart w:id="8" w:name="_Toc528949390"/>
      <w:r>
        <w:t>DCIs for scheduling PDSCH on unlicensed carriers should support larger DAI field as compared to Rel-15 NR DCI for scheduling PDSCH on licensed carrier.</w:t>
      </w:r>
      <w:bookmarkEnd w:id="8"/>
      <w:r>
        <w:t xml:space="preserve">  </w:t>
      </w:r>
    </w:p>
    <w:p w14:paraId="3AEAB22C" w14:textId="4968C5D1" w:rsidR="00D05A02" w:rsidRPr="00C33D2A" w:rsidRDefault="00D05A02" w:rsidP="00C33D2A">
      <w:pPr>
        <w:jc w:val="both"/>
        <w:rPr>
          <w:rFonts w:asciiTheme="minorBidi" w:hAnsiTheme="minorBidi" w:cstheme="minorBidi"/>
          <w:lang w:val="en-US"/>
        </w:rPr>
      </w:pPr>
      <w:r>
        <w:rPr>
          <w:rFonts w:asciiTheme="minorBidi" w:hAnsiTheme="minorBidi" w:cstheme="minorBidi"/>
          <w:lang w:val="en-US"/>
        </w:rPr>
        <w:t>In the following</w:t>
      </w:r>
      <w:r w:rsidR="00803AAF">
        <w:rPr>
          <w:rFonts w:asciiTheme="minorBidi" w:hAnsiTheme="minorBidi" w:cstheme="minorBidi"/>
          <w:lang w:val="en-US"/>
        </w:rPr>
        <w:t xml:space="preserve">, </w:t>
      </w:r>
      <w:r>
        <w:rPr>
          <w:rFonts w:asciiTheme="minorBidi" w:hAnsiTheme="minorBidi" w:cstheme="minorBidi"/>
          <w:lang w:val="en-US"/>
        </w:rPr>
        <w:t>we discuss a</w:t>
      </w:r>
      <w:r w:rsidR="00C06081">
        <w:rPr>
          <w:rFonts w:asciiTheme="minorBidi" w:hAnsiTheme="minorBidi" w:cstheme="minorBidi"/>
          <w:lang w:val="en-US"/>
        </w:rPr>
        <w:t xml:space="preserve"> solution based on both alternative 1 and 2</w:t>
      </w:r>
      <w:r>
        <w:rPr>
          <w:rFonts w:asciiTheme="minorBidi" w:hAnsiTheme="minorBidi" w:cstheme="minorBidi"/>
          <w:lang w:val="en-US"/>
        </w:rPr>
        <w:t xml:space="preserve"> that as least handles the first two issues</w:t>
      </w:r>
      <w:r w:rsidR="00C06081">
        <w:rPr>
          <w:rFonts w:asciiTheme="minorBidi" w:hAnsiTheme="minorBidi" w:cstheme="minorBidi"/>
          <w:lang w:val="en-US"/>
        </w:rPr>
        <w:t>.</w:t>
      </w:r>
    </w:p>
    <w:p w14:paraId="3B342AA1" w14:textId="26F2A01D" w:rsidR="003469D2" w:rsidRDefault="003469D2" w:rsidP="0046247E">
      <w:pPr>
        <w:pStyle w:val="BodyText"/>
        <w:rPr>
          <w:rStyle w:val="IvDbodytextChar"/>
        </w:rPr>
      </w:pPr>
      <w:r>
        <w:t>To resolve the possible misalignment</w:t>
      </w:r>
      <w:r w:rsidR="009F66CB">
        <w:t xml:space="preserve"> </w:t>
      </w:r>
      <w:r w:rsidR="003C0AF4">
        <w:t>caused by mis-detected feedback</w:t>
      </w:r>
      <w:r>
        <w:t>, we propose to add a toggle bit</w:t>
      </w:r>
      <w:r w:rsidR="00262E32">
        <w:t>, new feedback indicator (NFI)</w:t>
      </w:r>
      <w:r w:rsidR="009F66CB">
        <w:t>,</w:t>
      </w:r>
      <w:r w:rsidR="00262E32">
        <w:t xml:space="preserve"> </w:t>
      </w:r>
      <w:r>
        <w:t>in the DCI to indicate w</w:t>
      </w:r>
      <w:r w:rsidR="00262E32">
        <w:t>h</w:t>
      </w:r>
      <w:r>
        <w:t>e</w:t>
      </w:r>
      <w:r w:rsidR="00262E32">
        <w:t xml:space="preserve">ther the </w:t>
      </w:r>
      <w:r w:rsidR="0089634B">
        <w:rPr>
          <w:rStyle w:val="IvDbodytextChar"/>
        </w:rPr>
        <w:t xml:space="preserve">HARQ-ACK feedback from the UE was received by the </w:t>
      </w:r>
      <w:proofErr w:type="spellStart"/>
      <w:r w:rsidR="0089634B">
        <w:rPr>
          <w:rStyle w:val="IvDbodytextChar"/>
        </w:rPr>
        <w:t>gNB</w:t>
      </w:r>
      <w:proofErr w:type="spellEnd"/>
      <w:r w:rsidR="0089634B">
        <w:rPr>
          <w:rStyle w:val="IvDbodytextChar"/>
        </w:rPr>
        <w:t xml:space="preserve"> or not</w:t>
      </w:r>
      <w:r w:rsidR="00262E32">
        <w:rPr>
          <w:rStyle w:val="IvDbodytextChar"/>
        </w:rPr>
        <w:t xml:space="preserve">. The concept is very well inspired by the New </w:t>
      </w:r>
      <w:r w:rsidR="009F66CB">
        <w:rPr>
          <w:rStyle w:val="IvDbodytextChar"/>
        </w:rPr>
        <w:t>D</w:t>
      </w:r>
      <w:r w:rsidR="00262E32">
        <w:rPr>
          <w:rStyle w:val="IvDbodytextChar"/>
        </w:rPr>
        <w:t xml:space="preserve">ata </w:t>
      </w:r>
      <w:r w:rsidR="009F66CB">
        <w:rPr>
          <w:rStyle w:val="IvDbodytextChar"/>
        </w:rPr>
        <w:t>I</w:t>
      </w:r>
      <w:r w:rsidR="00262E32">
        <w:rPr>
          <w:rStyle w:val="IvDbodytextChar"/>
        </w:rPr>
        <w:t xml:space="preserve">ndicator (NDI) used in dedicated UL grants. In a way, the </w:t>
      </w:r>
      <w:proofErr w:type="spellStart"/>
      <w:r w:rsidR="00262E32">
        <w:rPr>
          <w:rStyle w:val="IvDbodytextChar"/>
        </w:rPr>
        <w:t>gNB</w:t>
      </w:r>
      <w:proofErr w:type="spellEnd"/>
      <w:r w:rsidR="00262E32">
        <w:rPr>
          <w:rStyle w:val="IvDbodytextChar"/>
        </w:rPr>
        <w:t xml:space="preserve"> sends an </w:t>
      </w:r>
      <w:r w:rsidR="00B73503">
        <w:rPr>
          <w:rStyle w:val="IvDbodytextChar"/>
        </w:rPr>
        <w:t>explicit acknowledgement</w:t>
      </w:r>
      <w:r w:rsidR="00262E32">
        <w:rPr>
          <w:rStyle w:val="IvDbodytextChar"/>
        </w:rPr>
        <w:t xml:space="preserve"> for the feedback reception. The procedure works as follows: </w:t>
      </w:r>
    </w:p>
    <w:p w14:paraId="4240E53B" w14:textId="6605D385" w:rsidR="00262E32" w:rsidRDefault="00262E32" w:rsidP="001A7386">
      <w:pPr>
        <w:pStyle w:val="IvDInstructiontext"/>
        <w:numPr>
          <w:ilvl w:val="1"/>
          <w:numId w:val="15"/>
        </w:numPr>
        <w:jc w:val="both"/>
        <w:rPr>
          <w:rStyle w:val="IvDbodytextChar"/>
          <w:i w:val="0"/>
          <w:color w:val="auto"/>
          <w:sz w:val="20"/>
          <w:szCs w:val="20"/>
        </w:rPr>
      </w:pPr>
      <w:r>
        <w:rPr>
          <w:rStyle w:val="IvDbodytextChar"/>
          <w:i w:val="0"/>
          <w:color w:val="auto"/>
          <w:sz w:val="20"/>
          <w:szCs w:val="20"/>
        </w:rPr>
        <w:t>Not toggle, the HARQ-ACK occasion(s) was not received, e.g. no PUCCH was received. The UE will automatically include the none received HARQ-ACK bits in the next reporting occasion on either PUSCH or PUCCH</w:t>
      </w:r>
      <w:r w:rsidR="003C0AF4">
        <w:rPr>
          <w:rStyle w:val="IvDbodytextChar"/>
          <w:i w:val="0"/>
          <w:color w:val="auto"/>
          <w:sz w:val="20"/>
          <w:szCs w:val="20"/>
        </w:rPr>
        <w:t>. In a way, the NFI bit acts as an explicit indication to trigger feedback retransmission within the next feedback occasion.</w:t>
      </w:r>
    </w:p>
    <w:p w14:paraId="3F4EC5A4" w14:textId="1993EAE5" w:rsidR="00C328E3" w:rsidRDefault="00262E32" w:rsidP="001A7386">
      <w:pPr>
        <w:pStyle w:val="IvDInstructiontext"/>
        <w:numPr>
          <w:ilvl w:val="1"/>
          <w:numId w:val="15"/>
        </w:numPr>
        <w:jc w:val="both"/>
        <w:rPr>
          <w:rStyle w:val="IvDbodytextChar"/>
          <w:i w:val="0"/>
          <w:color w:val="auto"/>
          <w:sz w:val="20"/>
          <w:szCs w:val="20"/>
        </w:rPr>
      </w:pPr>
      <w:r>
        <w:rPr>
          <w:rStyle w:val="IvDbodytextChar"/>
          <w:i w:val="0"/>
          <w:color w:val="auto"/>
          <w:sz w:val="20"/>
          <w:szCs w:val="20"/>
        </w:rPr>
        <w:t xml:space="preserve">Toggled. the HARQ-ACK occasion(s) was received by the </w:t>
      </w:r>
      <w:proofErr w:type="spellStart"/>
      <w:r>
        <w:rPr>
          <w:rStyle w:val="IvDbodytextChar"/>
          <w:i w:val="0"/>
          <w:color w:val="auto"/>
          <w:sz w:val="20"/>
          <w:szCs w:val="20"/>
        </w:rPr>
        <w:t>gNB</w:t>
      </w:r>
      <w:proofErr w:type="spellEnd"/>
      <w:r w:rsidR="00974086">
        <w:rPr>
          <w:rStyle w:val="IvDbodytextChar"/>
          <w:i w:val="0"/>
          <w:color w:val="auto"/>
          <w:sz w:val="20"/>
          <w:szCs w:val="20"/>
        </w:rPr>
        <w:t xml:space="preserve">. </w:t>
      </w:r>
      <w:r>
        <w:rPr>
          <w:rStyle w:val="IvDbodytextChar"/>
          <w:i w:val="0"/>
          <w:color w:val="auto"/>
          <w:sz w:val="20"/>
          <w:szCs w:val="20"/>
        </w:rPr>
        <w:t>The UE will not include the previous HARQ-ACK bits in the next HARQ-ACK reporting occasion.</w:t>
      </w:r>
    </w:p>
    <w:p w14:paraId="0616DF1F" w14:textId="5AA710B5" w:rsidR="00C328E3" w:rsidRDefault="00C328E3" w:rsidP="00C328E3">
      <w:pPr>
        <w:pStyle w:val="IvDInstructiontext"/>
        <w:keepNext/>
        <w:jc w:val="center"/>
      </w:pPr>
    </w:p>
    <w:p w14:paraId="0B691C2D" w14:textId="77777777" w:rsidR="008D250A" w:rsidRDefault="008D250A">
      <w:pPr>
        <w:pStyle w:val="IvDInstructiontext"/>
        <w:keepNext/>
        <w:jc w:val="center"/>
      </w:pPr>
      <w:r>
        <w:rPr>
          <w:noProof/>
        </w:rPr>
        <w:drawing>
          <wp:inline distT="0" distB="0" distL="0" distR="0" wp14:anchorId="10CFC067" wp14:editId="23E85564">
            <wp:extent cx="5365369" cy="1482366"/>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9444" cy="1486255"/>
                    </a:xfrm>
                    <a:prstGeom prst="rect">
                      <a:avLst/>
                    </a:prstGeom>
                    <a:noFill/>
                  </pic:spPr>
                </pic:pic>
              </a:graphicData>
            </a:graphic>
          </wp:inline>
        </w:drawing>
      </w:r>
    </w:p>
    <w:p w14:paraId="16E3D582" w14:textId="78E1E80E" w:rsidR="008D250A" w:rsidRDefault="008D250A" w:rsidP="00C33D2A">
      <w:pPr>
        <w:pStyle w:val="Caption"/>
        <w:jc w:val="center"/>
      </w:pPr>
      <w:r>
        <w:t xml:space="preserve">Figure </w:t>
      </w:r>
      <w:r w:rsidR="00561342">
        <w:rPr>
          <w:noProof/>
        </w:rPr>
        <w:fldChar w:fldCharType="begin"/>
      </w:r>
      <w:r w:rsidR="00561342">
        <w:rPr>
          <w:noProof/>
        </w:rPr>
        <w:instrText xml:space="preserve"> SEQ Figure \* ARABIC </w:instrText>
      </w:r>
      <w:r w:rsidR="00561342">
        <w:rPr>
          <w:noProof/>
        </w:rPr>
        <w:fldChar w:fldCharType="separate"/>
      </w:r>
      <w:r w:rsidR="00117344">
        <w:rPr>
          <w:noProof/>
        </w:rPr>
        <w:t>2</w:t>
      </w:r>
      <w:r w:rsidR="00561342">
        <w:rPr>
          <w:noProof/>
        </w:rPr>
        <w:fldChar w:fldCharType="end"/>
      </w:r>
      <w:r>
        <w:rPr>
          <w:lang w:val="en-US"/>
        </w:rPr>
        <w:t>: Dynamic Codebook with NFI</w:t>
      </w:r>
    </w:p>
    <w:p w14:paraId="36253479" w14:textId="77777777" w:rsidR="00624F93" w:rsidRDefault="00624F93">
      <w:pPr>
        <w:pStyle w:val="IvDInstructiontext"/>
        <w:keepNext/>
        <w:jc w:val="center"/>
      </w:pPr>
      <w:r>
        <w:rPr>
          <w:noProof/>
        </w:rPr>
        <w:lastRenderedPageBreak/>
        <w:drawing>
          <wp:inline distT="0" distB="0" distL="0" distR="0" wp14:anchorId="6C176038" wp14:editId="63B9DF98">
            <wp:extent cx="5441315" cy="1566466"/>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57741" cy="1571195"/>
                    </a:xfrm>
                    <a:prstGeom prst="rect">
                      <a:avLst/>
                    </a:prstGeom>
                    <a:noFill/>
                  </pic:spPr>
                </pic:pic>
              </a:graphicData>
            </a:graphic>
          </wp:inline>
        </w:drawing>
      </w:r>
    </w:p>
    <w:p w14:paraId="4EEC481B" w14:textId="30BC9126" w:rsidR="008D250A" w:rsidRDefault="00624F93" w:rsidP="00C33D2A">
      <w:pPr>
        <w:pStyle w:val="Caption"/>
        <w:jc w:val="center"/>
      </w:pPr>
      <w:r>
        <w:t xml:space="preserve">Figure </w:t>
      </w:r>
      <w:r w:rsidR="00561342">
        <w:rPr>
          <w:noProof/>
        </w:rPr>
        <w:fldChar w:fldCharType="begin"/>
      </w:r>
      <w:r w:rsidR="00561342">
        <w:rPr>
          <w:noProof/>
        </w:rPr>
        <w:instrText xml:space="preserve"> SEQ Figure \* ARABIC </w:instrText>
      </w:r>
      <w:r w:rsidR="00561342">
        <w:rPr>
          <w:noProof/>
        </w:rPr>
        <w:fldChar w:fldCharType="separate"/>
      </w:r>
      <w:r w:rsidR="00117344">
        <w:rPr>
          <w:noProof/>
        </w:rPr>
        <w:t>3</w:t>
      </w:r>
      <w:r w:rsidR="00561342">
        <w:rPr>
          <w:noProof/>
        </w:rPr>
        <w:fldChar w:fldCharType="end"/>
      </w:r>
      <w:r>
        <w:rPr>
          <w:lang w:val="en-US"/>
        </w:rPr>
        <w:t>:</w:t>
      </w:r>
      <w:r w:rsidRPr="0054436A">
        <w:rPr>
          <w:lang w:val="en-US"/>
        </w:rPr>
        <w:t xml:space="preserve"> Dynamic Codebook with NFI</w:t>
      </w:r>
      <w:r>
        <w:rPr>
          <w:noProof/>
          <w:lang w:val="en-US"/>
        </w:rPr>
        <w:t xml:space="preserve"> in case of Failed PUCCH detection (due to PUCCH misdetection or failed PUCCH transmission due to failed LBT)</w:t>
      </w:r>
    </w:p>
    <w:p w14:paraId="6FF455F0" w14:textId="09F67CFA" w:rsidR="00624F93" w:rsidRDefault="00624F93" w:rsidP="00624F93">
      <w:pPr>
        <w:pStyle w:val="IvDInstructiontext"/>
        <w:jc w:val="both"/>
        <w:rPr>
          <w:rStyle w:val="IvDbodytextChar"/>
          <w:i w:val="0"/>
          <w:color w:val="auto"/>
          <w:sz w:val="20"/>
          <w:szCs w:val="20"/>
        </w:rPr>
      </w:pPr>
      <w:r>
        <w:rPr>
          <w:rStyle w:val="IvDbodytextChar"/>
          <w:i w:val="0"/>
          <w:color w:val="auto"/>
          <w:sz w:val="20"/>
          <w:szCs w:val="20"/>
        </w:rPr>
        <w:t xml:space="preserve">Figure </w:t>
      </w:r>
      <w:r w:rsidR="004D1DC2">
        <w:rPr>
          <w:rStyle w:val="IvDbodytextChar"/>
          <w:i w:val="0"/>
          <w:color w:val="auto"/>
          <w:sz w:val="20"/>
          <w:szCs w:val="20"/>
        </w:rPr>
        <w:t>2</w:t>
      </w:r>
      <w:r>
        <w:rPr>
          <w:rStyle w:val="IvDbodytextChar"/>
          <w:i w:val="0"/>
          <w:color w:val="auto"/>
          <w:sz w:val="20"/>
          <w:szCs w:val="20"/>
        </w:rPr>
        <w:t xml:space="preserve"> and </w:t>
      </w:r>
      <w:r w:rsidR="004D1DC2">
        <w:rPr>
          <w:rStyle w:val="IvDbodytextChar"/>
          <w:i w:val="0"/>
          <w:color w:val="auto"/>
          <w:sz w:val="20"/>
          <w:szCs w:val="20"/>
        </w:rPr>
        <w:t>3</w:t>
      </w:r>
      <w:r>
        <w:rPr>
          <w:rStyle w:val="IvDbodytextChar"/>
          <w:i w:val="0"/>
          <w:color w:val="auto"/>
          <w:sz w:val="20"/>
          <w:szCs w:val="20"/>
        </w:rPr>
        <w:t xml:space="preserve"> is an example to highlight how the introduction of NFI bit helps the UE figure out that the last PUCCH transmission was not received by the </w:t>
      </w:r>
      <w:proofErr w:type="spellStart"/>
      <w:r>
        <w:rPr>
          <w:rStyle w:val="IvDbodytextChar"/>
          <w:i w:val="0"/>
          <w:color w:val="auto"/>
          <w:sz w:val="20"/>
          <w:szCs w:val="20"/>
        </w:rPr>
        <w:t>gNB</w:t>
      </w:r>
      <w:proofErr w:type="spellEnd"/>
      <w:r>
        <w:rPr>
          <w:rStyle w:val="IvDbodytextChar"/>
          <w:i w:val="0"/>
          <w:color w:val="auto"/>
          <w:sz w:val="20"/>
          <w:szCs w:val="20"/>
        </w:rPr>
        <w:t xml:space="preserve"> and therefore, explicitly indicating to the UE to retransmit the earlier feedback in the next PUCCH occasion.</w:t>
      </w:r>
    </w:p>
    <w:p w14:paraId="125803B4" w14:textId="400DE2DB" w:rsidR="00624F93" w:rsidRPr="00C33D2A" w:rsidRDefault="00624F93" w:rsidP="00C33D2A">
      <w:pPr>
        <w:pStyle w:val="IvDInstructiontext"/>
        <w:jc w:val="both"/>
        <w:rPr>
          <w:rStyle w:val="IvDbodytextChar"/>
          <w:color w:val="auto"/>
          <w:sz w:val="20"/>
          <w:szCs w:val="20"/>
        </w:rPr>
      </w:pPr>
      <w:r w:rsidRPr="00C33D2A">
        <w:rPr>
          <w:rStyle w:val="IvDbodytextChar"/>
          <w:i w:val="0"/>
          <w:color w:val="auto"/>
          <w:sz w:val="20"/>
          <w:szCs w:val="20"/>
        </w:rPr>
        <w:t>In addition to the NFI field in DCI, NR-</w:t>
      </w:r>
      <w:r>
        <w:rPr>
          <w:rStyle w:val="IvDbodytextChar"/>
          <w:i w:val="0"/>
          <w:color w:val="auto"/>
          <w:sz w:val="20"/>
          <w:szCs w:val="20"/>
        </w:rPr>
        <w:t>U</w:t>
      </w:r>
      <w:r w:rsidRPr="00C33D2A">
        <w:rPr>
          <w:rStyle w:val="IvDbodytextChar"/>
          <w:i w:val="0"/>
          <w:color w:val="auto"/>
          <w:sz w:val="20"/>
          <w:szCs w:val="20"/>
        </w:rPr>
        <w:t xml:space="preserve"> can possibly consider indicating a reserved value for PDSCH-to-HARQ-timing-indicator. The actual transmission time of the HARQ feedback is determined by first subsequent DL scheduling DCI with a valid value for PDSCH-to-HARQ-timing-indicator.</w:t>
      </w:r>
      <w:r>
        <w:rPr>
          <w:rStyle w:val="IvDbodytextChar"/>
          <w:i w:val="0"/>
          <w:color w:val="auto"/>
          <w:sz w:val="20"/>
          <w:szCs w:val="20"/>
        </w:rPr>
        <w:t xml:space="preserve"> Figure </w:t>
      </w:r>
      <w:r w:rsidR="004D1DC2">
        <w:rPr>
          <w:rStyle w:val="IvDbodytextChar"/>
          <w:i w:val="0"/>
          <w:color w:val="auto"/>
          <w:sz w:val="20"/>
          <w:szCs w:val="20"/>
        </w:rPr>
        <w:t>4</w:t>
      </w:r>
      <w:r w:rsidR="002F73FA">
        <w:rPr>
          <w:rStyle w:val="IvDbodytextChar"/>
          <w:i w:val="0"/>
          <w:color w:val="auto"/>
          <w:sz w:val="20"/>
          <w:szCs w:val="20"/>
        </w:rPr>
        <w:t xml:space="preserve"> shows an example. Where the UE sets the </w:t>
      </w:r>
      <w:r w:rsidR="002F73FA" w:rsidRPr="00B21AB1">
        <w:rPr>
          <w:rStyle w:val="IvDbodytextChar"/>
          <w:i w:val="0"/>
          <w:color w:val="auto"/>
          <w:sz w:val="20"/>
          <w:szCs w:val="20"/>
        </w:rPr>
        <w:t>PDSCH-to-HARQ-timing-indicator</w:t>
      </w:r>
      <w:r w:rsidR="002F73FA">
        <w:rPr>
          <w:rStyle w:val="IvDbodytextChar"/>
          <w:i w:val="0"/>
          <w:color w:val="auto"/>
          <w:sz w:val="20"/>
          <w:szCs w:val="20"/>
        </w:rPr>
        <w:t xml:space="preserve"> of the 3</w:t>
      </w:r>
      <w:r w:rsidR="002F73FA" w:rsidRPr="00C33D2A">
        <w:rPr>
          <w:rStyle w:val="IvDbodytextChar"/>
          <w:i w:val="0"/>
          <w:color w:val="auto"/>
          <w:sz w:val="20"/>
          <w:szCs w:val="20"/>
          <w:vertAlign w:val="superscript"/>
        </w:rPr>
        <w:t>rd</w:t>
      </w:r>
      <w:r w:rsidR="002F73FA">
        <w:rPr>
          <w:rStyle w:val="IvDbodytextChar"/>
          <w:i w:val="0"/>
          <w:color w:val="auto"/>
          <w:sz w:val="20"/>
          <w:szCs w:val="20"/>
        </w:rPr>
        <w:t xml:space="preserve"> PDSCH transmission only after the reception of the next PDCCH.  </w:t>
      </w:r>
    </w:p>
    <w:p w14:paraId="42B7640E" w14:textId="77777777" w:rsidR="002F6ACE" w:rsidRDefault="00624F93">
      <w:pPr>
        <w:pStyle w:val="IvDInstructiontext"/>
        <w:keepNext/>
        <w:jc w:val="center"/>
      </w:pPr>
      <w:r>
        <w:rPr>
          <w:noProof/>
        </w:rPr>
        <w:drawing>
          <wp:inline distT="0" distB="0" distL="0" distR="0" wp14:anchorId="21B49ACD" wp14:editId="6FC7E364">
            <wp:extent cx="5743651" cy="15831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9792" cy="1590345"/>
                    </a:xfrm>
                    <a:prstGeom prst="rect">
                      <a:avLst/>
                    </a:prstGeom>
                    <a:noFill/>
                  </pic:spPr>
                </pic:pic>
              </a:graphicData>
            </a:graphic>
          </wp:inline>
        </w:drawing>
      </w:r>
    </w:p>
    <w:p w14:paraId="08A215C3" w14:textId="59010B01" w:rsidR="008D250A" w:rsidRDefault="002F6ACE" w:rsidP="00C33D2A">
      <w:pPr>
        <w:pStyle w:val="Caption"/>
        <w:jc w:val="center"/>
      </w:pPr>
      <w:r>
        <w:t xml:space="preserve">Figure </w:t>
      </w:r>
      <w:r w:rsidR="00561342">
        <w:rPr>
          <w:noProof/>
        </w:rPr>
        <w:fldChar w:fldCharType="begin"/>
      </w:r>
      <w:r w:rsidR="00561342">
        <w:rPr>
          <w:noProof/>
        </w:rPr>
        <w:instrText xml:space="preserve"> SEQ Figure \* ARABIC </w:instrText>
      </w:r>
      <w:r w:rsidR="00561342">
        <w:rPr>
          <w:noProof/>
        </w:rPr>
        <w:fldChar w:fldCharType="separate"/>
      </w:r>
      <w:r w:rsidR="00117344">
        <w:rPr>
          <w:noProof/>
        </w:rPr>
        <w:t>4</w:t>
      </w:r>
      <w:r w:rsidR="00561342">
        <w:rPr>
          <w:noProof/>
        </w:rPr>
        <w:fldChar w:fldCharType="end"/>
      </w:r>
      <w:r>
        <w:rPr>
          <w:lang w:val="en-US"/>
        </w:rPr>
        <w:t xml:space="preserve">: </w:t>
      </w:r>
      <w:r w:rsidRPr="001E534D">
        <w:rPr>
          <w:lang w:val="en-US"/>
        </w:rPr>
        <w:t xml:space="preserve">Dynamic Codebook with NFI </w:t>
      </w:r>
      <w:r>
        <w:rPr>
          <w:noProof/>
          <w:lang w:val="en-US"/>
        </w:rPr>
        <w:t>+ disabling PDSCH-to-HARQ-timing indicator</w:t>
      </w:r>
    </w:p>
    <w:p w14:paraId="0B7929AF" w14:textId="77777777" w:rsidR="00262E32" w:rsidRDefault="00262E32" w:rsidP="0046247E">
      <w:pPr>
        <w:pStyle w:val="BodyText"/>
        <w:rPr>
          <w:rStyle w:val="IvDbodytextChar"/>
        </w:rPr>
      </w:pPr>
    </w:p>
    <w:p w14:paraId="5B47414B" w14:textId="77777777" w:rsidR="00974086" w:rsidRDefault="009461E1" w:rsidP="00974086">
      <w:pPr>
        <w:pStyle w:val="Proposal"/>
        <w:tabs>
          <w:tab w:val="clear" w:pos="1304"/>
        </w:tabs>
        <w:ind w:left="1701" w:hanging="1701"/>
      </w:pPr>
      <w:bookmarkStart w:id="9" w:name="_Toc528949391"/>
      <w:r w:rsidRPr="009461E1">
        <w:t xml:space="preserve">Introduce a toggle bit (NFI) in a DCI to indicate whether the expected HARQ-ACK feedback(s) from the UE was correctly received by the </w:t>
      </w:r>
      <w:proofErr w:type="spellStart"/>
      <w:r w:rsidRPr="009461E1">
        <w:t>gNB</w:t>
      </w:r>
      <w:proofErr w:type="spellEnd"/>
      <w:r w:rsidRPr="009461E1">
        <w:t xml:space="preserve"> or not</w:t>
      </w:r>
      <w:r w:rsidR="00974086">
        <w:t>.</w:t>
      </w:r>
      <w:bookmarkEnd w:id="9"/>
    </w:p>
    <w:p w14:paraId="63B1E19C" w14:textId="44F0E71F" w:rsidR="00974086" w:rsidRPr="00974086" w:rsidRDefault="00974086" w:rsidP="001A7386">
      <w:pPr>
        <w:pStyle w:val="Proposal"/>
        <w:numPr>
          <w:ilvl w:val="1"/>
          <w:numId w:val="2"/>
        </w:numPr>
        <w:rPr>
          <w:rStyle w:val="IvDbodytextChar"/>
          <w:spacing w:val="0"/>
          <w:lang w:val="en-GB" w:eastAsia="zh-CN"/>
        </w:rPr>
      </w:pPr>
      <w:bookmarkStart w:id="10" w:name="_Toc528949392"/>
      <w:r w:rsidRPr="00974086">
        <w:rPr>
          <w:rStyle w:val="IvDbodytextChar"/>
        </w:rPr>
        <w:t>Not toggle</w:t>
      </w:r>
      <w:r w:rsidR="00802495">
        <w:rPr>
          <w:rStyle w:val="IvDbodytextChar"/>
        </w:rPr>
        <w:t xml:space="preserve">: </w:t>
      </w:r>
      <w:r w:rsidRPr="00974086">
        <w:rPr>
          <w:rStyle w:val="IvDbodytextChar"/>
        </w:rPr>
        <w:t xml:space="preserve">the HARQ-ACK occasion(s) </w:t>
      </w:r>
      <w:r>
        <w:rPr>
          <w:rStyle w:val="IvDbodytextChar"/>
        </w:rPr>
        <w:t xml:space="preserve">since the bit was last toggled </w:t>
      </w:r>
      <w:r w:rsidRPr="00974086">
        <w:rPr>
          <w:rStyle w:val="IvDbodytextChar"/>
        </w:rPr>
        <w:t>was not received. The UE will automatically include the none received HARQ-ACK bits in the next reporting occasion</w:t>
      </w:r>
      <w:bookmarkEnd w:id="10"/>
    </w:p>
    <w:p w14:paraId="5F9AAF74" w14:textId="5F85C724" w:rsidR="00974086" w:rsidRPr="00974086" w:rsidRDefault="00974086" w:rsidP="001A7386">
      <w:pPr>
        <w:pStyle w:val="Proposal"/>
        <w:numPr>
          <w:ilvl w:val="1"/>
          <w:numId w:val="2"/>
        </w:numPr>
        <w:rPr>
          <w:rStyle w:val="IvDbodytextChar"/>
          <w:spacing w:val="0"/>
          <w:lang w:val="en-GB" w:eastAsia="zh-CN"/>
        </w:rPr>
      </w:pPr>
      <w:bookmarkStart w:id="11" w:name="_Toc528949393"/>
      <w:r w:rsidRPr="00974086">
        <w:rPr>
          <w:rStyle w:val="IvDbodytextChar"/>
        </w:rPr>
        <w:t>Toggled</w:t>
      </w:r>
      <w:r w:rsidR="00802495">
        <w:rPr>
          <w:rStyle w:val="IvDbodytextChar"/>
        </w:rPr>
        <w:t>:</w:t>
      </w:r>
      <w:r w:rsidRPr="00974086">
        <w:rPr>
          <w:rStyle w:val="IvDbodytextChar"/>
        </w:rPr>
        <w:t xml:space="preserve"> </w:t>
      </w:r>
      <w:r w:rsidR="00802495">
        <w:rPr>
          <w:rStyle w:val="IvDbodytextChar"/>
        </w:rPr>
        <w:t>t</w:t>
      </w:r>
      <w:r w:rsidRPr="00974086">
        <w:rPr>
          <w:rStyle w:val="IvDbodytextChar"/>
        </w:rPr>
        <w:t xml:space="preserve">he HARQ-ACK occasion(s) </w:t>
      </w:r>
      <w:r>
        <w:rPr>
          <w:rStyle w:val="IvDbodytextChar"/>
        </w:rPr>
        <w:t xml:space="preserve">since the bit was last toggled </w:t>
      </w:r>
      <w:r w:rsidRPr="00974086">
        <w:rPr>
          <w:rStyle w:val="IvDbodytextChar"/>
        </w:rPr>
        <w:t xml:space="preserve">was received by the </w:t>
      </w:r>
      <w:proofErr w:type="spellStart"/>
      <w:r w:rsidRPr="00974086">
        <w:rPr>
          <w:rStyle w:val="IvDbodytextChar"/>
        </w:rPr>
        <w:t>gNB</w:t>
      </w:r>
      <w:bookmarkEnd w:id="11"/>
      <w:proofErr w:type="spellEnd"/>
    </w:p>
    <w:p w14:paraId="2A7F81F8" w14:textId="16FB03E8" w:rsidR="001C6089" w:rsidRDefault="001C6089" w:rsidP="002A7A8E">
      <w:pPr>
        <w:pStyle w:val="BodyText"/>
        <w:pBdr>
          <w:bottom w:val="single" w:sz="6" w:space="1" w:color="auto"/>
        </w:pBdr>
      </w:pPr>
    </w:p>
    <w:p w14:paraId="408A6D83" w14:textId="007CB48A" w:rsidR="002A7A8E" w:rsidRDefault="002A7A8E" w:rsidP="002A7A8E">
      <w:pPr>
        <w:pStyle w:val="Heading2"/>
      </w:pPr>
      <w:r>
        <w:t>2.</w:t>
      </w:r>
      <w:r w:rsidR="00BE135D">
        <w:t>3</w:t>
      </w:r>
      <w:r>
        <w:tab/>
      </w:r>
      <w:r>
        <w:tab/>
        <w:t>Multi TTI scheduling</w:t>
      </w:r>
    </w:p>
    <w:p w14:paraId="1998242B" w14:textId="081DB51B" w:rsidR="002A7A8E" w:rsidRPr="002A7A8E" w:rsidRDefault="002A7A8E" w:rsidP="002A7A8E">
      <w:pPr>
        <w:pStyle w:val="BodyText"/>
        <w:rPr>
          <w:rFonts w:asciiTheme="minorBidi" w:hAnsiTheme="minorBidi" w:cstheme="minorBidi"/>
        </w:rPr>
      </w:pPr>
      <w:r w:rsidRPr="002A7A8E">
        <w:rPr>
          <w:rFonts w:asciiTheme="minorBidi" w:hAnsiTheme="minorBidi" w:cstheme="minorBidi"/>
        </w:rPr>
        <w:t xml:space="preserve">During </w:t>
      </w:r>
      <w:r w:rsidR="00EA5F00">
        <w:rPr>
          <w:rFonts w:asciiTheme="minorBidi" w:hAnsiTheme="minorBidi" w:cstheme="minorBidi"/>
        </w:rPr>
        <w:t>RAN1#93 [</w:t>
      </w:r>
      <w:r w:rsidR="00C11DA7">
        <w:rPr>
          <w:rFonts w:asciiTheme="minorBidi" w:hAnsiTheme="minorBidi" w:cstheme="minorBidi"/>
        </w:rPr>
        <w:t>2</w:t>
      </w:r>
      <w:r w:rsidR="00EA5F00">
        <w:rPr>
          <w:rFonts w:asciiTheme="minorBidi" w:hAnsiTheme="minorBidi" w:cstheme="minorBidi"/>
        </w:rPr>
        <w:t>]</w:t>
      </w:r>
      <w:r w:rsidRPr="002A7A8E">
        <w:rPr>
          <w:rFonts w:asciiTheme="minorBidi" w:hAnsiTheme="minorBidi" w:cstheme="minorBidi"/>
        </w:rPr>
        <w:t xml:space="preserve"> the following agreement was made: </w:t>
      </w:r>
    </w:p>
    <w:p w14:paraId="7CB03679" w14:textId="77777777" w:rsidR="002A7A8E" w:rsidRPr="002A7A8E" w:rsidRDefault="002A7A8E" w:rsidP="002A7A8E">
      <w:pPr>
        <w:spacing w:line="259" w:lineRule="auto"/>
        <w:rPr>
          <w:rFonts w:asciiTheme="minorBidi" w:hAnsiTheme="minorBidi" w:cstheme="minorBidi"/>
        </w:rPr>
      </w:pPr>
      <w:r w:rsidRPr="002A7A8E">
        <w:rPr>
          <w:rFonts w:asciiTheme="minorBidi" w:hAnsiTheme="minorBidi" w:cstheme="minorBidi"/>
          <w:highlight w:val="green"/>
        </w:rPr>
        <w:t>Agreement:</w:t>
      </w:r>
    </w:p>
    <w:p w14:paraId="0F26AA49" w14:textId="77777777" w:rsidR="002A7A8E" w:rsidRPr="002A7A8E" w:rsidRDefault="002A7A8E" w:rsidP="001A7386">
      <w:pPr>
        <w:pStyle w:val="ListParagraph"/>
        <w:numPr>
          <w:ilvl w:val="0"/>
          <w:numId w:val="16"/>
        </w:numPr>
        <w:overflowPunct/>
        <w:autoSpaceDE/>
        <w:autoSpaceDN/>
        <w:adjustRightInd/>
        <w:spacing w:line="259" w:lineRule="auto"/>
        <w:contextualSpacing/>
        <w:textAlignment w:val="auto"/>
        <w:rPr>
          <w:rFonts w:asciiTheme="minorBidi" w:hAnsiTheme="minorBidi" w:cstheme="minorBidi"/>
          <w:sz w:val="20"/>
          <w:szCs w:val="20"/>
        </w:rPr>
      </w:pPr>
      <w:r w:rsidRPr="002A7A8E">
        <w:rPr>
          <w:rFonts w:asciiTheme="minorBidi" w:hAnsiTheme="minorBidi" w:cstheme="minorBidi"/>
          <w:sz w:val="20"/>
          <w:szCs w:val="20"/>
        </w:rPr>
        <w:t xml:space="preserve">Scheduling multiple TTIs for PUSCH each using a separate UL grant in the same PDCCH monitoring occasion is identified as beneficial </w:t>
      </w:r>
    </w:p>
    <w:p w14:paraId="595F5C67" w14:textId="44517660" w:rsidR="002A7A8E" w:rsidRDefault="002A7A8E" w:rsidP="001A7386">
      <w:pPr>
        <w:pStyle w:val="ListParagraph"/>
        <w:numPr>
          <w:ilvl w:val="0"/>
          <w:numId w:val="16"/>
        </w:numPr>
        <w:overflowPunct/>
        <w:autoSpaceDE/>
        <w:autoSpaceDN/>
        <w:adjustRightInd/>
        <w:spacing w:line="259" w:lineRule="auto"/>
        <w:contextualSpacing/>
        <w:textAlignment w:val="auto"/>
        <w:rPr>
          <w:rFonts w:asciiTheme="minorBidi" w:hAnsiTheme="minorBidi" w:cstheme="minorBidi"/>
          <w:sz w:val="20"/>
          <w:szCs w:val="20"/>
        </w:rPr>
      </w:pPr>
      <w:r w:rsidRPr="002A7A8E">
        <w:rPr>
          <w:rFonts w:asciiTheme="minorBidi" w:hAnsiTheme="minorBidi" w:cstheme="minorBidi"/>
          <w:sz w:val="20"/>
          <w:szCs w:val="20"/>
        </w:rPr>
        <w:t>Scheduling multiple TTIs for PUSCH using a single UL grant is identified as beneficial and should be supported in NR-U</w:t>
      </w:r>
    </w:p>
    <w:p w14:paraId="043718EB" w14:textId="77777777" w:rsidR="00B30D2B" w:rsidRDefault="00B30D2B" w:rsidP="00B30D2B">
      <w:pPr>
        <w:pStyle w:val="ListParagraph"/>
        <w:overflowPunct/>
        <w:autoSpaceDE/>
        <w:autoSpaceDN/>
        <w:adjustRightInd/>
        <w:spacing w:line="259" w:lineRule="auto"/>
        <w:contextualSpacing/>
        <w:textAlignment w:val="auto"/>
        <w:rPr>
          <w:rFonts w:asciiTheme="minorBidi" w:hAnsiTheme="minorBidi" w:cstheme="minorBidi"/>
          <w:sz w:val="20"/>
          <w:szCs w:val="20"/>
        </w:rPr>
      </w:pPr>
    </w:p>
    <w:p w14:paraId="66CF0E9A" w14:textId="77777777" w:rsidR="00C725D8" w:rsidRDefault="00B30D2B" w:rsidP="00B30D2B">
      <w:pPr>
        <w:pStyle w:val="BodyText"/>
        <w:rPr>
          <w:rFonts w:asciiTheme="minorBidi" w:hAnsiTheme="minorBidi" w:cstheme="minorBidi"/>
        </w:rPr>
      </w:pPr>
      <w:r w:rsidRPr="00322A5B">
        <w:rPr>
          <w:rFonts w:asciiTheme="minorBidi" w:hAnsiTheme="minorBidi" w:cstheme="minorBidi"/>
        </w:rPr>
        <w:lastRenderedPageBreak/>
        <w:t>There are two options for multi-TTI scheduling: (1) one TB per TTI, similar to what was done in rel-14 multi-subframe scheduling for LAA, or (2) one TB across multiple TTI. The later requires</w:t>
      </w:r>
      <w:r>
        <w:rPr>
          <w:rFonts w:asciiTheme="minorBidi" w:hAnsiTheme="minorBidi" w:cstheme="minorBidi"/>
        </w:rPr>
        <w:t xml:space="preserve"> more changes to NR specifications, without strong motivation for that. With larger subcarrier spacing, it is easier to exhaust all the 16 HARQ for one UE within less than a MCOT duration. However, this is only true with 60KHz subcarrier spacing. Also, it would be a limiting factor if only one UE has data to transmit/receive. Otherwise, the </w:t>
      </w:r>
      <w:proofErr w:type="spellStart"/>
      <w:r>
        <w:rPr>
          <w:rFonts w:asciiTheme="minorBidi" w:hAnsiTheme="minorBidi" w:cstheme="minorBidi"/>
        </w:rPr>
        <w:t>gNB</w:t>
      </w:r>
      <w:proofErr w:type="spellEnd"/>
      <w:r>
        <w:rPr>
          <w:rFonts w:asciiTheme="minorBidi" w:hAnsiTheme="minorBidi" w:cstheme="minorBidi"/>
        </w:rPr>
        <w:t xml:space="preserve"> can always time multiplex transmissions to/from different UEs within the same COT. </w:t>
      </w:r>
    </w:p>
    <w:p w14:paraId="64CE2428" w14:textId="7A939E6D" w:rsidR="0064674A" w:rsidRPr="00AB2AF0" w:rsidRDefault="00387317" w:rsidP="00AB2AF0">
      <w:pPr>
        <w:pStyle w:val="CommentText"/>
        <w:rPr>
          <w:rFonts w:asciiTheme="minorBidi" w:hAnsiTheme="minorBidi" w:cstheme="minorBidi"/>
          <w:lang w:eastAsia="zh-CN"/>
        </w:rPr>
      </w:pPr>
      <w:r w:rsidRPr="00AB2AF0">
        <w:rPr>
          <w:rFonts w:asciiTheme="minorBidi" w:hAnsiTheme="minorBidi" w:cstheme="minorBidi"/>
          <w:lang w:eastAsia="zh-CN"/>
        </w:rPr>
        <w:t xml:space="preserve">It has been claimed that </w:t>
      </w:r>
      <w:r w:rsidR="00C065FF" w:rsidRPr="00AB2AF0">
        <w:rPr>
          <w:rFonts w:asciiTheme="minorBidi" w:hAnsiTheme="minorBidi" w:cstheme="minorBidi"/>
          <w:lang w:eastAsia="zh-CN"/>
        </w:rPr>
        <w:t xml:space="preserve">single TB across multiple TTIs can </w:t>
      </w:r>
      <w:r w:rsidR="001E7D90" w:rsidRPr="00AB2AF0">
        <w:rPr>
          <w:rFonts w:asciiTheme="minorBidi" w:hAnsiTheme="minorBidi" w:cstheme="minorBidi"/>
          <w:lang w:eastAsia="zh-CN"/>
        </w:rPr>
        <w:t xml:space="preserve">reduce overhead since single HARQ-ACK bit is needed for multiple </w:t>
      </w:r>
      <w:r w:rsidR="00864D0D" w:rsidRPr="00AB2AF0">
        <w:rPr>
          <w:rFonts w:asciiTheme="minorBidi" w:hAnsiTheme="minorBidi" w:cstheme="minorBidi"/>
          <w:lang w:eastAsia="zh-CN"/>
        </w:rPr>
        <w:t xml:space="preserve">TTIs. If so, it means </w:t>
      </w:r>
      <w:r w:rsidR="00644A83" w:rsidRPr="00AB2AF0">
        <w:rPr>
          <w:rFonts w:asciiTheme="minorBidi" w:hAnsiTheme="minorBidi" w:cstheme="minorBidi"/>
          <w:lang w:eastAsia="zh-CN"/>
        </w:rPr>
        <w:t>if single TTI is highly interfered</w:t>
      </w:r>
      <w:r w:rsidR="00C30FB8">
        <w:rPr>
          <w:rFonts w:asciiTheme="minorBidi" w:hAnsiTheme="minorBidi" w:cstheme="minorBidi"/>
          <w:lang w:eastAsia="zh-CN"/>
        </w:rPr>
        <w:t xml:space="preserve">, </w:t>
      </w:r>
      <w:r w:rsidR="00644A83" w:rsidRPr="00AB2AF0">
        <w:rPr>
          <w:rFonts w:asciiTheme="minorBidi" w:hAnsiTheme="minorBidi" w:cstheme="minorBidi"/>
          <w:lang w:eastAsia="zh-CN"/>
        </w:rPr>
        <w:t xml:space="preserve">which </w:t>
      </w:r>
      <w:r w:rsidR="00C30FB8">
        <w:rPr>
          <w:rFonts w:asciiTheme="minorBidi" w:hAnsiTheme="minorBidi" w:cstheme="minorBidi"/>
          <w:lang w:eastAsia="zh-CN"/>
        </w:rPr>
        <w:t xml:space="preserve">can be </w:t>
      </w:r>
      <w:r w:rsidR="00644A83" w:rsidRPr="00AB2AF0">
        <w:rPr>
          <w:rFonts w:asciiTheme="minorBidi" w:hAnsiTheme="minorBidi" w:cstheme="minorBidi"/>
          <w:lang w:eastAsia="zh-CN"/>
        </w:rPr>
        <w:t xml:space="preserve">the case </w:t>
      </w:r>
      <w:r w:rsidR="00DB69BA" w:rsidRPr="00AB2AF0">
        <w:rPr>
          <w:rFonts w:asciiTheme="minorBidi" w:hAnsiTheme="minorBidi" w:cstheme="minorBidi"/>
          <w:lang w:eastAsia="zh-CN"/>
        </w:rPr>
        <w:t xml:space="preserve">in case of collision at the beginning of the COT, the whole TB </w:t>
      </w:r>
      <w:r w:rsidR="00EE70F5" w:rsidRPr="00AB2AF0">
        <w:rPr>
          <w:rFonts w:asciiTheme="minorBidi" w:hAnsiTheme="minorBidi" w:cstheme="minorBidi"/>
          <w:lang w:eastAsia="zh-CN"/>
        </w:rPr>
        <w:t>reception will fail</w:t>
      </w:r>
      <w:r w:rsidR="00E235BD" w:rsidRPr="00AB2AF0">
        <w:rPr>
          <w:rFonts w:asciiTheme="minorBidi" w:hAnsiTheme="minorBidi" w:cstheme="minorBidi"/>
          <w:lang w:eastAsia="zh-CN"/>
        </w:rPr>
        <w:t xml:space="preserve">. This will require retransmission of the whole </w:t>
      </w:r>
      <w:r w:rsidR="00CF1053">
        <w:rPr>
          <w:rFonts w:asciiTheme="minorBidi" w:hAnsiTheme="minorBidi" w:cstheme="minorBidi"/>
          <w:lang w:eastAsia="zh-CN"/>
        </w:rPr>
        <w:t xml:space="preserve">large </w:t>
      </w:r>
      <w:r w:rsidR="00E235BD" w:rsidRPr="00AB2AF0">
        <w:rPr>
          <w:rFonts w:asciiTheme="minorBidi" w:hAnsiTheme="minorBidi" w:cstheme="minorBidi"/>
          <w:lang w:eastAsia="zh-CN"/>
        </w:rPr>
        <w:t>TB</w:t>
      </w:r>
      <w:r w:rsidR="001C3B10" w:rsidRPr="00AB2AF0">
        <w:rPr>
          <w:rFonts w:asciiTheme="minorBidi" w:hAnsiTheme="minorBidi" w:cstheme="minorBidi"/>
          <w:lang w:eastAsia="zh-CN"/>
        </w:rPr>
        <w:t xml:space="preserve"> which induce</w:t>
      </w:r>
      <w:r w:rsidR="00CF1053">
        <w:rPr>
          <w:rFonts w:asciiTheme="minorBidi" w:hAnsiTheme="minorBidi" w:cstheme="minorBidi"/>
          <w:lang w:eastAsia="zh-CN"/>
        </w:rPr>
        <w:t>s</w:t>
      </w:r>
      <w:r w:rsidR="001C3B10" w:rsidRPr="00AB2AF0">
        <w:rPr>
          <w:rFonts w:asciiTheme="minorBidi" w:hAnsiTheme="minorBidi" w:cstheme="minorBidi"/>
          <w:lang w:eastAsia="zh-CN"/>
        </w:rPr>
        <w:t xml:space="preserve"> much more overhead as compared to one TB per TTI.</w:t>
      </w:r>
      <w:r w:rsidR="00643B8A">
        <w:rPr>
          <w:rFonts w:asciiTheme="minorBidi" w:hAnsiTheme="minorBidi" w:cstheme="minorBidi"/>
          <w:lang w:eastAsia="zh-CN"/>
        </w:rPr>
        <w:t xml:space="preserve"> Alternatively, s</w:t>
      </w:r>
      <w:r w:rsidR="00C04E83" w:rsidRPr="00AB2AF0">
        <w:rPr>
          <w:rFonts w:asciiTheme="minorBidi" w:hAnsiTheme="minorBidi" w:cstheme="minorBidi"/>
          <w:lang w:eastAsia="zh-CN"/>
        </w:rPr>
        <w:t>cheduling o</w:t>
      </w:r>
      <w:r w:rsidR="00AA3649" w:rsidRPr="00AB2AF0">
        <w:rPr>
          <w:rFonts w:asciiTheme="minorBidi" w:hAnsiTheme="minorBidi" w:cstheme="minorBidi"/>
          <w:lang w:eastAsia="zh-CN"/>
        </w:rPr>
        <w:t>ne TB a</w:t>
      </w:r>
      <w:r w:rsidR="00C04E83" w:rsidRPr="00AB2AF0">
        <w:rPr>
          <w:rFonts w:asciiTheme="minorBidi" w:hAnsiTheme="minorBidi" w:cstheme="minorBidi"/>
          <w:lang w:eastAsia="zh-CN"/>
        </w:rPr>
        <w:t>cro</w:t>
      </w:r>
      <w:r w:rsidR="00AA3649" w:rsidRPr="00AB2AF0">
        <w:rPr>
          <w:rFonts w:asciiTheme="minorBidi" w:hAnsiTheme="minorBidi" w:cstheme="minorBidi"/>
          <w:lang w:eastAsia="zh-CN"/>
        </w:rPr>
        <w:t>ss multiple TTI</w:t>
      </w:r>
      <w:r w:rsidR="001C50AA" w:rsidRPr="00AB2AF0">
        <w:rPr>
          <w:rFonts w:asciiTheme="minorBidi" w:hAnsiTheme="minorBidi" w:cstheme="minorBidi"/>
          <w:lang w:eastAsia="zh-CN"/>
        </w:rPr>
        <w:t xml:space="preserve"> </w:t>
      </w:r>
      <w:r w:rsidR="00643B8A">
        <w:rPr>
          <w:rFonts w:asciiTheme="minorBidi" w:hAnsiTheme="minorBidi" w:cstheme="minorBidi"/>
          <w:lang w:eastAsia="zh-CN"/>
        </w:rPr>
        <w:t>is used together with</w:t>
      </w:r>
      <w:r w:rsidR="00C04E83" w:rsidRPr="00AB2AF0">
        <w:rPr>
          <w:rFonts w:asciiTheme="minorBidi" w:hAnsiTheme="minorBidi" w:cstheme="minorBidi"/>
          <w:lang w:eastAsia="zh-CN"/>
        </w:rPr>
        <w:t xml:space="preserve"> CBG based HARQ-feedback.</w:t>
      </w:r>
      <w:r w:rsidR="003709C7" w:rsidRPr="00AB2AF0">
        <w:rPr>
          <w:rFonts w:asciiTheme="minorBidi" w:hAnsiTheme="minorBidi" w:cstheme="minorBidi"/>
          <w:lang w:eastAsia="zh-CN"/>
        </w:rPr>
        <w:t xml:space="preserve"> In the later case, the </w:t>
      </w:r>
      <w:r w:rsidR="00AB2AF0" w:rsidRPr="00AB2AF0">
        <w:rPr>
          <w:rFonts w:asciiTheme="minorBidi" w:hAnsiTheme="minorBidi" w:cstheme="minorBidi"/>
          <w:lang w:eastAsia="zh-CN"/>
        </w:rPr>
        <w:t xml:space="preserve">overhead savings as compared to single TB across multiple TTIs are not clear. </w:t>
      </w:r>
      <w:r w:rsidR="00C04E83" w:rsidRPr="00AB2AF0">
        <w:rPr>
          <w:rFonts w:asciiTheme="minorBidi" w:hAnsiTheme="minorBidi" w:cstheme="minorBidi"/>
          <w:lang w:eastAsia="zh-CN"/>
        </w:rPr>
        <w:t xml:space="preserve"> </w:t>
      </w:r>
    </w:p>
    <w:p w14:paraId="3A68C9DD" w14:textId="503E5B24" w:rsidR="002A7A8E" w:rsidRPr="00B30D2B" w:rsidRDefault="00B30D2B" w:rsidP="001A7386">
      <w:pPr>
        <w:pStyle w:val="Proposal"/>
      </w:pPr>
      <w:bookmarkStart w:id="12" w:name="_Toc528949394"/>
      <w:r>
        <w:t>Scheduling one TB across different TTIs is not supported for NR-U</w:t>
      </w:r>
      <w:bookmarkStart w:id="13" w:name="_Hlk520468333"/>
      <w:bookmarkStart w:id="14" w:name="_Hlk520468119"/>
      <w:bookmarkEnd w:id="12"/>
    </w:p>
    <w:p w14:paraId="732B428A" w14:textId="441330A9" w:rsidR="00105E0F" w:rsidRDefault="002A7A8E" w:rsidP="00105E0F">
      <w:pPr>
        <w:pStyle w:val="BodyText"/>
        <w:rPr>
          <w:rFonts w:asciiTheme="minorBidi" w:hAnsiTheme="minorBidi" w:cstheme="minorBidi"/>
        </w:rPr>
      </w:pPr>
      <w:r w:rsidRPr="002A7A8E">
        <w:rPr>
          <w:rFonts w:asciiTheme="minorBidi" w:hAnsiTheme="minorBidi" w:cstheme="minorBidi"/>
        </w:rPr>
        <w:t xml:space="preserve">LAA multi-subframe scheduling should be the baseline to enable scheduling multiple TTIs for PUSCH using a single UL grant in NR. </w:t>
      </w:r>
      <w:bookmarkStart w:id="15" w:name="_Hlk520912163"/>
      <w:bookmarkEnd w:id="13"/>
    </w:p>
    <w:p w14:paraId="1BF5799F" w14:textId="5502597F" w:rsidR="00BE60B7" w:rsidRDefault="00BE60B7" w:rsidP="001A7386">
      <w:pPr>
        <w:pStyle w:val="Proposal"/>
      </w:pPr>
      <w:bookmarkStart w:id="16" w:name="_Toc528949395"/>
      <w:r w:rsidRPr="001A4BB1">
        <w:t xml:space="preserve">Scheduling multiple </w:t>
      </w:r>
      <w:r w:rsidRPr="001A7386">
        <w:t>TTIs</w:t>
      </w:r>
      <w:r w:rsidRPr="001A4BB1">
        <w:t xml:space="preserve"> </w:t>
      </w:r>
      <w:r w:rsidRPr="002816DD">
        <w:t>with different TBs</w:t>
      </w:r>
      <w:r>
        <w:t xml:space="preserve"> </w:t>
      </w:r>
      <w:r w:rsidRPr="001A4BB1">
        <w:t>for PUSCH using multiple</w:t>
      </w:r>
      <w:r>
        <w:t xml:space="preserve"> or single</w:t>
      </w:r>
      <w:r w:rsidRPr="001A4BB1">
        <w:t xml:space="preserve"> UL grant</w:t>
      </w:r>
      <w:r>
        <w:t>s</w:t>
      </w:r>
      <w:r w:rsidRPr="00544E18">
        <w:t xml:space="preserve"> </w:t>
      </w:r>
      <w:r w:rsidRPr="001A4BB1">
        <w:t>in the same PDCCH monitoring occasion</w:t>
      </w:r>
      <w:r>
        <w:t xml:space="preserve"> is supported in NR-U</w:t>
      </w:r>
      <w:bookmarkEnd w:id="16"/>
    </w:p>
    <w:bookmarkEnd w:id="14"/>
    <w:bookmarkEnd w:id="15"/>
    <w:p w14:paraId="269573C7" w14:textId="643DDDC8" w:rsidR="00C01F33" w:rsidRPr="00CE0424" w:rsidRDefault="00C01F33" w:rsidP="00717A1D">
      <w:pPr>
        <w:pStyle w:val="Heading1"/>
        <w:ind w:left="0" w:firstLine="0"/>
      </w:pPr>
      <w:r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1A22D5" w14:textId="400BF819" w:rsidR="00117344"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28683683" w:history="1">
        <w:r w:rsidR="00117344" w:rsidRPr="006E4370">
          <w:rPr>
            <w:rStyle w:val="Hyperlink"/>
            <w:noProof/>
          </w:rPr>
          <w:t>Observation 1</w:t>
        </w:r>
        <w:r w:rsidR="00117344">
          <w:rPr>
            <w:rFonts w:asciiTheme="minorHAnsi" w:eastAsiaTheme="minorEastAsia" w:hAnsiTheme="minorHAnsi" w:cstheme="minorBidi"/>
            <w:b w:val="0"/>
            <w:noProof/>
            <w:sz w:val="22"/>
            <w:szCs w:val="22"/>
            <w:lang w:val="en-US" w:eastAsia="en-US"/>
          </w:rPr>
          <w:tab/>
        </w:r>
        <w:r w:rsidR="00117344" w:rsidRPr="006E4370">
          <w:rPr>
            <w:rStyle w:val="Hyperlink"/>
            <w:noProof/>
          </w:rPr>
          <w:t>It is easier to achieve Self-contained COT using capability #2 UE.</w:t>
        </w:r>
      </w:hyperlink>
    </w:p>
    <w:p w14:paraId="4EB72A02" w14:textId="0EDD788E" w:rsidR="00117344" w:rsidRDefault="00AD77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683684" w:history="1">
        <w:r w:rsidR="00117344" w:rsidRPr="006E4370">
          <w:rPr>
            <w:rStyle w:val="Hyperlink"/>
            <w:noProof/>
          </w:rPr>
          <w:t>Observation 2</w:t>
        </w:r>
        <w:r w:rsidR="00117344">
          <w:rPr>
            <w:rFonts w:asciiTheme="minorHAnsi" w:eastAsiaTheme="minorEastAsia" w:hAnsiTheme="minorHAnsi" w:cstheme="minorBidi"/>
            <w:b w:val="0"/>
            <w:noProof/>
            <w:sz w:val="22"/>
            <w:szCs w:val="22"/>
            <w:lang w:val="en-US" w:eastAsia="en-US"/>
          </w:rPr>
          <w:tab/>
        </w:r>
        <w:r w:rsidR="00117344" w:rsidRPr="006E4370">
          <w:rPr>
            <w:rStyle w:val="Hyperlink"/>
            <w:noProof/>
          </w:rPr>
          <w:t>The gNB can accommodate for the PDSCH processing delay, by scheduling signals that do not require HARQ feedback between the last PDSCH reception and the scheduled feedback within the same COT.</w:t>
        </w:r>
      </w:hyperlink>
    </w:p>
    <w:p w14:paraId="7298A046" w14:textId="672259FF"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E582B91" w14:textId="21B12ECE" w:rsidR="00F56E3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lang w:val="en-US"/>
        </w:rPr>
        <w:fldChar w:fldCharType="begin"/>
      </w:r>
      <w:r>
        <w:rPr>
          <w:bCs/>
          <w:lang w:val="en-US"/>
        </w:rPr>
        <w:instrText xml:space="preserve"> TOC \n \h \z \t "Proposal" \c </w:instrText>
      </w:r>
      <w:r>
        <w:rPr>
          <w:bCs/>
          <w:lang w:val="en-US"/>
        </w:rPr>
        <w:fldChar w:fldCharType="separate"/>
      </w:r>
      <w:hyperlink w:anchor="_Toc528949389" w:history="1">
        <w:r w:rsidR="00F56E32" w:rsidRPr="004E79E9">
          <w:rPr>
            <w:rStyle w:val="Hyperlink"/>
            <w:noProof/>
          </w:rPr>
          <w:t>Proposal 1</w:t>
        </w:r>
        <w:r w:rsidR="00F56E32">
          <w:rPr>
            <w:rFonts w:asciiTheme="minorHAnsi" w:eastAsiaTheme="minorEastAsia" w:hAnsiTheme="minorHAnsi" w:cstheme="minorBidi"/>
            <w:b w:val="0"/>
            <w:noProof/>
            <w:sz w:val="22"/>
            <w:szCs w:val="22"/>
            <w:lang w:val="en-US" w:eastAsia="en-US"/>
          </w:rPr>
          <w:tab/>
        </w:r>
        <w:r w:rsidR="00F56E32" w:rsidRPr="004E79E9">
          <w:rPr>
            <w:rStyle w:val="Hyperlink"/>
            <w:noProof/>
          </w:rPr>
          <w:t>Alignment between gNB expected codebook size on UCI and the one reported by the UE even in case of PUCCH misdetection should always be guaranteed.</w:t>
        </w:r>
      </w:hyperlink>
    </w:p>
    <w:p w14:paraId="678C21E8" w14:textId="0BFB9991" w:rsidR="00F56E32" w:rsidRDefault="00AD77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390" w:history="1">
        <w:r w:rsidR="00F56E32" w:rsidRPr="004E79E9">
          <w:rPr>
            <w:rStyle w:val="Hyperlink"/>
            <w:noProof/>
          </w:rPr>
          <w:t>Proposal 2</w:t>
        </w:r>
        <w:r w:rsidR="00F56E32">
          <w:rPr>
            <w:rFonts w:asciiTheme="minorHAnsi" w:eastAsiaTheme="minorEastAsia" w:hAnsiTheme="minorHAnsi" w:cstheme="minorBidi"/>
            <w:b w:val="0"/>
            <w:noProof/>
            <w:sz w:val="22"/>
            <w:szCs w:val="22"/>
            <w:lang w:val="en-US" w:eastAsia="en-US"/>
          </w:rPr>
          <w:tab/>
        </w:r>
        <w:r w:rsidR="00F56E32" w:rsidRPr="004E79E9">
          <w:rPr>
            <w:rStyle w:val="Hyperlink"/>
            <w:noProof/>
          </w:rPr>
          <w:t>DCIs for scheduling PDSCH on unlicensed carriers should support larger DAI field as compared to Rel-15 NR DCI for scheduling PDSCH on licensed carrier.</w:t>
        </w:r>
      </w:hyperlink>
    </w:p>
    <w:p w14:paraId="05FD9F05" w14:textId="636E5512" w:rsidR="00F56E32" w:rsidRDefault="00AD77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391" w:history="1">
        <w:r w:rsidR="00F56E32" w:rsidRPr="004E79E9">
          <w:rPr>
            <w:rStyle w:val="Hyperlink"/>
            <w:noProof/>
          </w:rPr>
          <w:t>Proposal 3</w:t>
        </w:r>
        <w:r w:rsidR="00F56E32">
          <w:rPr>
            <w:rFonts w:asciiTheme="minorHAnsi" w:eastAsiaTheme="minorEastAsia" w:hAnsiTheme="minorHAnsi" w:cstheme="minorBidi"/>
            <w:b w:val="0"/>
            <w:noProof/>
            <w:sz w:val="22"/>
            <w:szCs w:val="22"/>
            <w:lang w:val="en-US" w:eastAsia="en-US"/>
          </w:rPr>
          <w:tab/>
        </w:r>
        <w:r w:rsidR="00F56E32" w:rsidRPr="004E79E9">
          <w:rPr>
            <w:rStyle w:val="Hyperlink"/>
            <w:noProof/>
          </w:rPr>
          <w:t>Introduce a toggle bit (NFI) in a DCI to indicate whether the expected HARQ-ACK feedback(s) from the UE was correctly received by the gNB or not.</w:t>
        </w:r>
      </w:hyperlink>
    </w:p>
    <w:p w14:paraId="6DCA3F35" w14:textId="312445D1" w:rsidR="00F56E32" w:rsidRDefault="00AD77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392" w:history="1">
        <w:r w:rsidR="00F56E32" w:rsidRPr="004E79E9">
          <w:rPr>
            <w:rStyle w:val="Hyperlink"/>
            <w:noProof/>
          </w:rPr>
          <w:t>a.</w:t>
        </w:r>
        <w:r w:rsidR="00F56E32">
          <w:rPr>
            <w:rFonts w:asciiTheme="minorHAnsi" w:eastAsiaTheme="minorEastAsia" w:hAnsiTheme="minorHAnsi" w:cstheme="minorBidi"/>
            <w:b w:val="0"/>
            <w:noProof/>
            <w:sz w:val="22"/>
            <w:szCs w:val="22"/>
            <w:lang w:val="en-US" w:eastAsia="en-US"/>
          </w:rPr>
          <w:tab/>
        </w:r>
        <w:r w:rsidR="00F56E32" w:rsidRPr="004E79E9">
          <w:rPr>
            <w:rStyle w:val="Hyperlink"/>
            <w:noProof/>
            <w:spacing w:val="2"/>
            <w:lang w:val="en-US" w:eastAsia="en-US"/>
          </w:rPr>
          <w:t>Not toggle: the HARQ-ACK occasion(s) since the bit was last toggled was not received. The UE will automatically include the none received HARQ-ACK bits in the next reporting occasion</w:t>
        </w:r>
      </w:hyperlink>
    </w:p>
    <w:p w14:paraId="02E7BD88" w14:textId="5BDE4C98" w:rsidR="00F56E32" w:rsidRDefault="00AD77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393" w:history="1">
        <w:r w:rsidR="00F56E32" w:rsidRPr="004E79E9">
          <w:rPr>
            <w:rStyle w:val="Hyperlink"/>
            <w:noProof/>
          </w:rPr>
          <w:t>b.</w:t>
        </w:r>
        <w:r w:rsidR="00F56E32">
          <w:rPr>
            <w:rFonts w:asciiTheme="minorHAnsi" w:eastAsiaTheme="minorEastAsia" w:hAnsiTheme="minorHAnsi" w:cstheme="minorBidi"/>
            <w:b w:val="0"/>
            <w:noProof/>
            <w:sz w:val="22"/>
            <w:szCs w:val="22"/>
            <w:lang w:val="en-US" w:eastAsia="en-US"/>
          </w:rPr>
          <w:tab/>
        </w:r>
        <w:r w:rsidR="00F56E32" w:rsidRPr="004E79E9">
          <w:rPr>
            <w:rStyle w:val="Hyperlink"/>
            <w:noProof/>
            <w:spacing w:val="2"/>
            <w:lang w:val="en-US" w:eastAsia="en-US"/>
          </w:rPr>
          <w:t>Toggled: the HARQ-ACK occasion(s) since the bit was last toggled was received by the gNB</w:t>
        </w:r>
      </w:hyperlink>
    </w:p>
    <w:p w14:paraId="0F5EC5D4" w14:textId="3826F09C" w:rsidR="00F56E32" w:rsidRDefault="00AD77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394" w:history="1">
        <w:r w:rsidR="00F56E32" w:rsidRPr="004E79E9">
          <w:rPr>
            <w:rStyle w:val="Hyperlink"/>
            <w:noProof/>
          </w:rPr>
          <w:t>Proposal 4</w:t>
        </w:r>
        <w:r w:rsidR="00F56E32">
          <w:rPr>
            <w:rFonts w:asciiTheme="minorHAnsi" w:eastAsiaTheme="minorEastAsia" w:hAnsiTheme="minorHAnsi" w:cstheme="minorBidi"/>
            <w:b w:val="0"/>
            <w:noProof/>
            <w:sz w:val="22"/>
            <w:szCs w:val="22"/>
            <w:lang w:val="en-US" w:eastAsia="en-US"/>
          </w:rPr>
          <w:tab/>
        </w:r>
        <w:r w:rsidR="00F56E32" w:rsidRPr="004E79E9">
          <w:rPr>
            <w:rStyle w:val="Hyperlink"/>
            <w:noProof/>
          </w:rPr>
          <w:t>Scheduling one TB across different TTIs is not supported for NR-U</w:t>
        </w:r>
      </w:hyperlink>
    </w:p>
    <w:p w14:paraId="41D80B11" w14:textId="3AD395DA" w:rsidR="00F56E32" w:rsidRDefault="00AD77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9395" w:history="1">
        <w:r w:rsidR="00F56E32" w:rsidRPr="004E79E9">
          <w:rPr>
            <w:rStyle w:val="Hyperlink"/>
            <w:noProof/>
          </w:rPr>
          <w:t>Proposal 5</w:t>
        </w:r>
        <w:r w:rsidR="00F56E32">
          <w:rPr>
            <w:rFonts w:asciiTheme="minorHAnsi" w:eastAsiaTheme="minorEastAsia" w:hAnsiTheme="minorHAnsi" w:cstheme="minorBidi"/>
            <w:b w:val="0"/>
            <w:noProof/>
            <w:sz w:val="22"/>
            <w:szCs w:val="22"/>
            <w:lang w:val="en-US" w:eastAsia="en-US"/>
          </w:rPr>
          <w:tab/>
        </w:r>
        <w:r w:rsidR="00F56E32" w:rsidRPr="004E79E9">
          <w:rPr>
            <w:rStyle w:val="Hyperlink"/>
            <w:noProof/>
          </w:rPr>
          <w:t>Scheduling multiple TTIs with different TBs for PUSCH using multiple or single UL grants in the same PDCCH monitoring occasion is supported in NR-U</w:t>
        </w:r>
      </w:hyperlink>
    </w:p>
    <w:p w14:paraId="29E5F4E6" w14:textId="30783363" w:rsidR="00C01F33" w:rsidRPr="006D7B1E" w:rsidRDefault="006E1C82" w:rsidP="006D7B1E">
      <w:pPr>
        <w:pStyle w:val="BodyText"/>
        <w:rPr>
          <w:b/>
          <w:bCs/>
        </w:rPr>
      </w:pPr>
      <w:r>
        <w:rPr>
          <w:b/>
          <w:bCs/>
          <w:lang w:val="en-US"/>
        </w:rPr>
        <w:fldChar w:fldCharType="end"/>
      </w:r>
    </w:p>
    <w:p w14:paraId="75F0F757" w14:textId="77777777" w:rsidR="00F507D1" w:rsidRPr="00CE0424" w:rsidRDefault="00F507D1" w:rsidP="00CE0424">
      <w:pPr>
        <w:pStyle w:val="Heading1"/>
      </w:pPr>
      <w:bookmarkStart w:id="17" w:name="_In-sequence_SDU_delivery"/>
      <w:bookmarkEnd w:id="17"/>
      <w:r w:rsidRPr="00CE0424">
        <w:t>References</w:t>
      </w:r>
    </w:p>
    <w:p w14:paraId="737C55D3" w14:textId="6C442C86" w:rsidR="00C11DA7" w:rsidRDefault="00C11DA7" w:rsidP="00C11DA7">
      <w:pPr>
        <w:pStyle w:val="Reference"/>
        <w:rPr>
          <w:lang w:eastAsia="ja-JP"/>
        </w:rPr>
      </w:pPr>
      <w:r>
        <w:t>Chairman’s Notes, RAN1 WG #94, Gothenburg, Sweden</w:t>
      </w:r>
    </w:p>
    <w:p w14:paraId="0E6D0EA3" w14:textId="0356CA69" w:rsidR="00C11DA7" w:rsidRPr="00CE0424" w:rsidRDefault="00C11DA7" w:rsidP="00C11DA7">
      <w:pPr>
        <w:pStyle w:val="Reference"/>
        <w:rPr>
          <w:lang w:eastAsia="ja-JP"/>
        </w:rPr>
      </w:pPr>
      <w:bookmarkStart w:id="18" w:name="_Ref174151459"/>
      <w:bookmarkStart w:id="19" w:name="_Ref189809556"/>
      <w:bookmarkStart w:id="20" w:name="_Ref488061725"/>
      <w:r>
        <w:t>Chairman’s Notes, RAN1 WG #9</w:t>
      </w:r>
      <w:bookmarkEnd w:id="18"/>
      <w:bookmarkEnd w:id="19"/>
      <w:bookmarkEnd w:id="20"/>
      <w:r>
        <w:t>3, Busan, Korea</w:t>
      </w:r>
    </w:p>
    <w:p w14:paraId="04881438" w14:textId="77777777" w:rsidR="00C11DA7" w:rsidRPr="00CE0424" w:rsidRDefault="00C11DA7" w:rsidP="00C11DA7">
      <w:pPr>
        <w:pStyle w:val="Reference"/>
        <w:numPr>
          <w:ilvl w:val="0"/>
          <w:numId w:val="0"/>
        </w:numPr>
        <w:rPr>
          <w:lang w:eastAsia="ja-JP"/>
        </w:rPr>
      </w:pPr>
    </w:p>
    <w:sectPr w:rsidR="00C11DA7"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7CBA7" w14:textId="77777777" w:rsidR="00AD7718" w:rsidRDefault="00AD7718">
      <w:r>
        <w:separator/>
      </w:r>
    </w:p>
  </w:endnote>
  <w:endnote w:type="continuationSeparator" w:id="0">
    <w:p w14:paraId="0DCF1725" w14:textId="77777777" w:rsidR="00AD7718" w:rsidRDefault="00AD7718">
      <w:r>
        <w:continuationSeparator/>
      </w:r>
    </w:p>
  </w:endnote>
  <w:endnote w:type="continuationNotice" w:id="1">
    <w:p w14:paraId="0A9E5DCA" w14:textId="77777777" w:rsidR="00AD7718" w:rsidRDefault="00AD7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1252F4C6" w:rsidR="00C72270" w:rsidRDefault="00C722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0F7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0F7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C3938" w14:textId="77777777" w:rsidR="00AD7718" w:rsidRDefault="00AD7718">
      <w:r>
        <w:separator/>
      </w:r>
    </w:p>
  </w:footnote>
  <w:footnote w:type="continuationSeparator" w:id="0">
    <w:p w14:paraId="1A507158" w14:textId="77777777" w:rsidR="00AD7718" w:rsidRDefault="00AD7718">
      <w:r>
        <w:continuationSeparator/>
      </w:r>
    </w:p>
  </w:footnote>
  <w:footnote w:type="continuationNotice" w:id="1">
    <w:p w14:paraId="2956B9DC" w14:textId="77777777" w:rsidR="00AD7718" w:rsidRDefault="00AD7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C72270" w:rsidRDefault="00C722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5C1294CE"/>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9E1EA8"/>
    <w:multiLevelType w:val="hybridMultilevel"/>
    <w:tmpl w:val="DAD82130"/>
    <w:lvl w:ilvl="0" w:tplc="E4D09F0A">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A4D6392"/>
    <w:multiLevelType w:val="hybridMultilevel"/>
    <w:tmpl w:val="086098FE"/>
    <w:lvl w:ilvl="0" w:tplc="2552122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E3A6F40"/>
    <w:multiLevelType w:val="hybridMultilevel"/>
    <w:tmpl w:val="64F0B3B2"/>
    <w:lvl w:ilvl="0" w:tplc="47502D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10"/>
  </w:num>
  <w:num w:numId="6">
    <w:abstractNumId w:val="11"/>
  </w:num>
  <w:num w:numId="7">
    <w:abstractNumId w:val="3"/>
  </w:num>
  <w:num w:numId="8">
    <w:abstractNumId w:val="4"/>
  </w:num>
  <w:num w:numId="9">
    <w:abstractNumId w:val="1"/>
  </w:num>
  <w:num w:numId="10">
    <w:abstractNumId w:val="15"/>
  </w:num>
  <w:num w:numId="11">
    <w:abstractNumId w:val="5"/>
  </w:num>
  <w:num w:numId="12">
    <w:abstractNumId w:val="14"/>
  </w:num>
  <w:num w:numId="13">
    <w:abstractNumId w:val="13"/>
  </w:num>
  <w:num w:numId="14">
    <w:abstractNumId w:val="7"/>
  </w:num>
  <w:num w:numId="15">
    <w:abstractNumId w:val="12"/>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5495"/>
    <w:rsid w:val="0000564C"/>
    <w:rsid w:val="00006446"/>
    <w:rsid w:val="00006896"/>
    <w:rsid w:val="00007CDC"/>
    <w:rsid w:val="000101DB"/>
    <w:rsid w:val="00011B28"/>
    <w:rsid w:val="00014FF3"/>
    <w:rsid w:val="00015D15"/>
    <w:rsid w:val="0002329D"/>
    <w:rsid w:val="0002564D"/>
    <w:rsid w:val="00025ECA"/>
    <w:rsid w:val="000325B8"/>
    <w:rsid w:val="00034C15"/>
    <w:rsid w:val="00036BA1"/>
    <w:rsid w:val="00041571"/>
    <w:rsid w:val="000422E2"/>
    <w:rsid w:val="00042F22"/>
    <w:rsid w:val="000444EF"/>
    <w:rsid w:val="00052A07"/>
    <w:rsid w:val="000534E3"/>
    <w:rsid w:val="0005606A"/>
    <w:rsid w:val="00057117"/>
    <w:rsid w:val="000574BA"/>
    <w:rsid w:val="000616E7"/>
    <w:rsid w:val="00063A5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DEC"/>
    <w:rsid w:val="000B2719"/>
    <w:rsid w:val="000B3A8F"/>
    <w:rsid w:val="000B4AB9"/>
    <w:rsid w:val="000B58C3"/>
    <w:rsid w:val="000B61E9"/>
    <w:rsid w:val="000B73BD"/>
    <w:rsid w:val="000B7F2E"/>
    <w:rsid w:val="000C0D60"/>
    <w:rsid w:val="000C165A"/>
    <w:rsid w:val="000C2E19"/>
    <w:rsid w:val="000C7F90"/>
    <w:rsid w:val="000D0D07"/>
    <w:rsid w:val="000D4797"/>
    <w:rsid w:val="000D639C"/>
    <w:rsid w:val="000D6D6A"/>
    <w:rsid w:val="000E0527"/>
    <w:rsid w:val="000E1E92"/>
    <w:rsid w:val="000E5535"/>
    <w:rsid w:val="000F06D6"/>
    <w:rsid w:val="000F0EB1"/>
    <w:rsid w:val="000F1106"/>
    <w:rsid w:val="000F3BE9"/>
    <w:rsid w:val="000F3F6C"/>
    <w:rsid w:val="000F6DF3"/>
    <w:rsid w:val="000F7539"/>
    <w:rsid w:val="001005FF"/>
    <w:rsid w:val="00105E0F"/>
    <w:rsid w:val="001062FB"/>
    <w:rsid w:val="001063E6"/>
    <w:rsid w:val="001101B4"/>
    <w:rsid w:val="00113CF4"/>
    <w:rsid w:val="001153EA"/>
    <w:rsid w:val="00115643"/>
    <w:rsid w:val="00116765"/>
    <w:rsid w:val="00117344"/>
    <w:rsid w:val="001219F5"/>
    <w:rsid w:val="00121A20"/>
    <w:rsid w:val="001231CF"/>
    <w:rsid w:val="0012377F"/>
    <w:rsid w:val="00124314"/>
    <w:rsid w:val="00126B4A"/>
    <w:rsid w:val="00132FD0"/>
    <w:rsid w:val="001344C0"/>
    <w:rsid w:val="001346FA"/>
    <w:rsid w:val="00135252"/>
    <w:rsid w:val="001360E1"/>
    <w:rsid w:val="00137AB5"/>
    <w:rsid w:val="00137F0B"/>
    <w:rsid w:val="001465E9"/>
    <w:rsid w:val="00151E23"/>
    <w:rsid w:val="001526E0"/>
    <w:rsid w:val="001551B5"/>
    <w:rsid w:val="00155D6A"/>
    <w:rsid w:val="00163868"/>
    <w:rsid w:val="001659C1"/>
    <w:rsid w:val="00166023"/>
    <w:rsid w:val="00173A8E"/>
    <w:rsid w:val="0017502C"/>
    <w:rsid w:val="00177189"/>
    <w:rsid w:val="0018143F"/>
    <w:rsid w:val="00181FF8"/>
    <w:rsid w:val="00190AC1"/>
    <w:rsid w:val="0019341A"/>
    <w:rsid w:val="0019625E"/>
    <w:rsid w:val="00197DF9"/>
    <w:rsid w:val="001A1987"/>
    <w:rsid w:val="001A2564"/>
    <w:rsid w:val="001A422D"/>
    <w:rsid w:val="001A6173"/>
    <w:rsid w:val="001A6CBA"/>
    <w:rsid w:val="001A7386"/>
    <w:rsid w:val="001B0D97"/>
    <w:rsid w:val="001B5A5D"/>
    <w:rsid w:val="001B5CB3"/>
    <w:rsid w:val="001C1CE5"/>
    <w:rsid w:val="001C3B10"/>
    <w:rsid w:val="001C3D2A"/>
    <w:rsid w:val="001C50AA"/>
    <w:rsid w:val="001C50CC"/>
    <w:rsid w:val="001C591E"/>
    <w:rsid w:val="001C6089"/>
    <w:rsid w:val="001D33FD"/>
    <w:rsid w:val="001D51BA"/>
    <w:rsid w:val="001D53E7"/>
    <w:rsid w:val="001D6342"/>
    <w:rsid w:val="001D6D53"/>
    <w:rsid w:val="001E58E2"/>
    <w:rsid w:val="001E7AED"/>
    <w:rsid w:val="001E7D90"/>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D99"/>
    <w:rsid w:val="00223FCB"/>
    <w:rsid w:val="002252C3"/>
    <w:rsid w:val="00225C54"/>
    <w:rsid w:val="00230765"/>
    <w:rsid w:val="00230D18"/>
    <w:rsid w:val="00230EF5"/>
    <w:rsid w:val="002319E4"/>
    <w:rsid w:val="00235632"/>
    <w:rsid w:val="00235872"/>
    <w:rsid w:val="00235F3D"/>
    <w:rsid w:val="00241559"/>
    <w:rsid w:val="0024226A"/>
    <w:rsid w:val="002435B3"/>
    <w:rsid w:val="002458EB"/>
    <w:rsid w:val="002500C8"/>
    <w:rsid w:val="0025238A"/>
    <w:rsid w:val="00257543"/>
    <w:rsid w:val="002617E7"/>
    <w:rsid w:val="00262B6C"/>
    <w:rsid w:val="00262E32"/>
    <w:rsid w:val="00264228"/>
    <w:rsid w:val="00264334"/>
    <w:rsid w:val="0026473E"/>
    <w:rsid w:val="00264923"/>
    <w:rsid w:val="00266214"/>
    <w:rsid w:val="00267C83"/>
    <w:rsid w:val="00270443"/>
    <w:rsid w:val="0027144F"/>
    <w:rsid w:val="00271813"/>
    <w:rsid w:val="00271F3A"/>
    <w:rsid w:val="00272516"/>
    <w:rsid w:val="00273278"/>
    <w:rsid w:val="002737F4"/>
    <w:rsid w:val="00276A6E"/>
    <w:rsid w:val="002805F5"/>
    <w:rsid w:val="00280751"/>
    <w:rsid w:val="0028280A"/>
    <w:rsid w:val="00285AE1"/>
    <w:rsid w:val="00286ACD"/>
    <w:rsid w:val="00287838"/>
    <w:rsid w:val="002907B5"/>
    <w:rsid w:val="00292EB7"/>
    <w:rsid w:val="00296227"/>
    <w:rsid w:val="00296F44"/>
    <w:rsid w:val="0029777D"/>
    <w:rsid w:val="002A055E"/>
    <w:rsid w:val="002A1D4E"/>
    <w:rsid w:val="002A2869"/>
    <w:rsid w:val="002A7A8E"/>
    <w:rsid w:val="002B12F5"/>
    <w:rsid w:val="002B1E4E"/>
    <w:rsid w:val="002B24D6"/>
    <w:rsid w:val="002B7D3D"/>
    <w:rsid w:val="002C198E"/>
    <w:rsid w:val="002C41E6"/>
    <w:rsid w:val="002C7BAF"/>
    <w:rsid w:val="002D071A"/>
    <w:rsid w:val="002D1C9F"/>
    <w:rsid w:val="002D34B2"/>
    <w:rsid w:val="002D43A9"/>
    <w:rsid w:val="002D48B0"/>
    <w:rsid w:val="002D5B37"/>
    <w:rsid w:val="002D7637"/>
    <w:rsid w:val="002E17F2"/>
    <w:rsid w:val="002E7CAE"/>
    <w:rsid w:val="002F0BEB"/>
    <w:rsid w:val="002F2771"/>
    <w:rsid w:val="002F37A9"/>
    <w:rsid w:val="002F5A12"/>
    <w:rsid w:val="002F5CA3"/>
    <w:rsid w:val="002F6ACE"/>
    <w:rsid w:val="002F73FA"/>
    <w:rsid w:val="00301CE6"/>
    <w:rsid w:val="0030256B"/>
    <w:rsid w:val="0030501F"/>
    <w:rsid w:val="00307BA1"/>
    <w:rsid w:val="00311702"/>
    <w:rsid w:val="00311E82"/>
    <w:rsid w:val="00313FD6"/>
    <w:rsid w:val="003143BD"/>
    <w:rsid w:val="00315363"/>
    <w:rsid w:val="003203ED"/>
    <w:rsid w:val="00320A74"/>
    <w:rsid w:val="00322A5B"/>
    <w:rsid w:val="00322C9F"/>
    <w:rsid w:val="00324D23"/>
    <w:rsid w:val="00327883"/>
    <w:rsid w:val="00331751"/>
    <w:rsid w:val="00334579"/>
    <w:rsid w:val="00335791"/>
    <w:rsid w:val="00335858"/>
    <w:rsid w:val="00336BDA"/>
    <w:rsid w:val="00342B5D"/>
    <w:rsid w:val="00342BD7"/>
    <w:rsid w:val="003469D2"/>
    <w:rsid w:val="00346DB5"/>
    <w:rsid w:val="003477B1"/>
    <w:rsid w:val="00352468"/>
    <w:rsid w:val="00356209"/>
    <w:rsid w:val="00357380"/>
    <w:rsid w:val="003602D9"/>
    <w:rsid w:val="003604CE"/>
    <w:rsid w:val="003709C7"/>
    <w:rsid w:val="00370E47"/>
    <w:rsid w:val="003742AC"/>
    <w:rsid w:val="00377CE1"/>
    <w:rsid w:val="003815B5"/>
    <w:rsid w:val="00385BF0"/>
    <w:rsid w:val="00387317"/>
    <w:rsid w:val="00390302"/>
    <w:rsid w:val="003939FF"/>
    <w:rsid w:val="0039452B"/>
    <w:rsid w:val="003A2223"/>
    <w:rsid w:val="003A2A0F"/>
    <w:rsid w:val="003A45A1"/>
    <w:rsid w:val="003A5B0A"/>
    <w:rsid w:val="003A6BAC"/>
    <w:rsid w:val="003A70A4"/>
    <w:rsid w:val="003A745B"/>
    <w:rsid w:val="003A7EF3"/>
    <w:rsid w:val="003B159C"/>
    <w:rsid w:val="003B369F"/>
    <w:rsid w:val="003B36A3"/>
    <w:rsid w:val="003B37D3"/>
    <w:rsid w:val="003B64BB"/>
    <w:rsid w:val="003B7FE5"/>
    <w:rsid w:val="003C0AF4"/>
    <w:rsid w:val="003C11C8"/>
    <w:rsid w:val="003C2702"/>
    <w:rsid w:val="003C7806"/>
    <w:rsid w:val="003D109F"/>
    <w:rsid w:val="003D2478"/>
    <w:rsid w:val="003D2D90"/>
    <w:rsid w:val="003D3C45"/>
    <w:rsid w:val="003D4F20"/>
    <w:rsid w:val="003D5B1F"/>
    <w:rsid w:val="003E15FA"/>
    <w:rsid w:val="003E55E4"/>
    <w:rsid w:val="003E74E3"/>
    <w:rsid w:val="003F04A6"/>
    <w:rsid w:val="003F05C7"/>
    <w:rsid w:val="003F2CD4"/>
    <w:rsid w:val="003F6BBE"/>
    <w:rsid w:val="004000E8"/>
    <w:rsid w:val="004003FF"/>
    <w:rsid w:val="00402E2B"/>
    <w:rsid w:val="00403F84"/>
    <w:rsid w:val="0040512B"/>
    <w:rsid w:val="00405CA5"/>
    <w:rsid w:val="00407CD3"/>
    <w:rsid w:val="00410134"/>
    <w:rsid w:val="00410B72"/>
    <w:rsid w:val="00410F18"/>
    <w:rsid w:val="0041263E"/>
    <w:rsid w:val="00413AAC"/>
    <w:rsid w:val="00413E92"/>
    <w:rsid w:val="004150C4"/>
    <w:rsid w:val="00416400"/>
    <w:rsid w:val="0042004C"/>
    <w:rsid w:val="00421105"/>
    <w:rsid w:val="00422AA4"/>
    <w:rsid w:val="004242F4"/>
    <w:rsid w:val="00427248"/>
    <w:rsid w:val="00431439"/>
    <w:rsid w:val="00437447"/>
    <w:rsid w:val="00440810"/>
    <w:rsid w:val="00441A92"/>
    <w:rsid w:val="004431C8"/>
    <w:rsid w:val="004431DC"/>
    <w:rsid w:val="00444F56"/>
    <w:rsid w:val="00446488"/>
    <w:rsid w:val="004517AA"/>
    <w:rsid w:val="00452CAC"/>
    <w:rsid w:val="00454420"/>
    <w:rsid w:val="0045503A"/>
    <w:rsid w:val="00457565"/>
    <w:rsid w:val="00457B71"/>
    <w:rsid w:val="0046247E"/>
    <w:rsid w:val="004627E2"/>
    <w:rsid w:val="004669E2"/>
    <w:rsid w:val="00470C31"/>
    <w:rsid w:val="00471DE0"/>
    <w:rsid w:val="004734D0"/>
    <w:rsid w:val="0047556B"/>
    <w:rsid w:val="00477768"/>
    <w:rsid w:val="00490CA2"/>
    <w:rsid w:val="00492BC5"/>
    <w:rsid w:val="0049316F"/>
    <w:rsid w:val="004964B5"/>
    <w:rsid w:val="004964F1"/>
    <w:rsid w:val="004A0DE1"/>
    <w:rsid w:val="004A16BC"/>
    <w:rsid w:val="004A2B94"/>
    <w:rsid w:val="004A64E5"/>
    <w:rsid w:val="004B6F6A"/>
    <w:rsid w:val="004B7C0C"/>
    <w:rsid w:val="004C3898"/>
    <w:rsid w:val="004C5484"/>
    <w:rsid w:val="004D1DC2"/>
    <w:rsid w:val="004D36B1"/>
    <w:rsid w:val="004D7543"/>
    <w:rsid w:val="004D7BCD"/>
    <w:rsid w:val="004D7EBD"/>
    <w:rsid w:val="004E2680"/>
    <w:rsid w:val="004E28F9"/>
    <w:rsid w:val="004E462E"/>
    <w:rsid w:val="004E56DC"/>
    <w:rsid w:val="004E76F4"/>
    <w:rsid w:val="004E7C33"/>
    <w:rsid w:val="004F0B4E"/>
    <w:rsid w:val="004F0B6C"/>
    <w:rsid w:val="004F2078"/>
    <w:rsid w:val="004F4DA3"/>
    <w:rsid w:val="004F63F4"/>
    <w:rsid w:val="00501BCB"/>
    <w:rsid w:val="00506557"/>
    <w:rsid w:val="0050677A"/>
    <w:rsid w:val="005108D8"/>
    <w:rsid w:val="005116F9"/>
    <w:rsid w:val="005153A7"/>
    <w:rsid w:val="005219CF"/>
    <w:rsid w:val="00521D9B"/>
    <w:rsid w:val="00534B59"/>
    <w:rsid w:val="00536759"/>
    <w:rsid w:val="00537C62"/>
    <w:rsid w:val="00545057"/>
    <w:rsid w:val="00546970"/>
    <w:rsid w:val="00554E19"/>
    <w:rsid w:val="0056121F"/>
    <w:rsid w:val="00561342"/>
    <w:rsid w:val="00572505"/>
    <w:rsid w:val="00575CF1"/>
    <w:rsid w:val="0057604A"/>
    <w:rsid w:val="00576F25"/>
    <w:rsid w:val="00582809"/>
    <w:rsid w:val="005867DE"/>
    <w:rsid w:val="0058798C"/>
    <w:rsid w:val="005900FA"/>
    <w:rsid w:val="005935A4"/>
    <w:rsid w:val="005948C2"/>
    <w:rsid w:val="00595DCA"/>
    <w:rsid w:val="0059779B"/>
    <w:rsid w:val="005A209A"/>
    <w:rsid w:val="005A487E"/>
    <w:rsid w:val="005A662D"/>
    <w:rsid w:val="005B0C15"/>
    <w:rsid w:val="005B1409"/>
    <w:rsid w:val="005B35D7"/>
    <w:rsid w:val="005B392A"/>
    <w:rsid w:val="005B3AA3"/>
    <w:rsid w:val="005B6F83"/>
    <w:rsid w:val="005C5135"/>
    <w:rsid w:val="005C6EF1"/>
    <w:rsid w:val="005C74FB"/>
    <w:rsid w:val="005D1602"/>
    <w:rsid w:val="005E05A1"/>
    <w:rsid w:val="005E0810"/>
    <w:rsid w:val="005E1E91"/>
    <w:rsid w:val="005E1F21"/>
    <w:rsid w:val="005E385F"/>
    <w:rsid w:val="005E5B81"/>
    <w:rsid w:val="005E6D5B"/>
    <w:rsid w:val="005F2CB1"/>
    <w:rsid w:val="005F3025"/>
    <w:rsid w:val="005F618C"/>
    <w:rsid w:val="005F70BD"/>
    <w:rsid w:val="005F74FD"/>
    <w:rsid w:val="0060283C"/>
    <w:rsid w:val="0060320D"/>
    <w:rsid w:val="00604F14"/>
    <w:rsid w:val="00611B83"/>
    <w:rsid w:val="00613257"/>
    <w:rsid w:val="006201BE"/>
    <w:rsid w:val="00620A71"/>
    <w:rsid w:val="00620D80"/>
    <w:rsid w:val="00621DFD"/>
    <w:rsid w:val="006234A6"/>
    <w:rsid w:val="00624F93"/>
    <w:rsid w:val="00630001"/>
    <w:rsid w:val="006311B3"/>
    <w:rsid w:val="0063284C"/>
    <w:rsid w:val="00636398"/>
    <w:rsid w:val="006368D3"/>
    <w:rsid w:val="006377EC"/>
    <w:rsid w:val="0064151F"/>
    <w:rsid w:val="00641533"/>
    <w:rsid w:val="0064208D"/>
    <w:rsid w:val="00643475"/>
    <w:rsid w:val="0064396A"/>
    <w:rsid w:val="00643B8A"/>
    <w:rsid w:val="00644A83"/>
    <w:rsid w:val="00645F0A"/>
    <w:rsid w:val="0064624E"/>
    <w:rsid w:val="0064674A"/>
    <w:rsid w:val="00650AB9"/>
    <w:rsid w:val="006520D2"/>
    <w:rsid w:val="00655733"/>
    <w:rsid w:val="00655ACD"/>
    <w:rsid w:val="00655DFD"/>
    <w:rsid w:val="006569D0"/>
    <w:rsid w:val="00656A92"/>
    <w:rsid w:val="00656DDE"/>
    <w:rsid w:val="0066011D"/>
    <w:rsid w:val="006607C0"/>
    <w:rsid w:val="006613A6"/>
    <w:rsid w:val="006627A2"/>
    <w:rsid w:val="006634E6"/>
    <w:rsid w:val="00664265"/>
    <w:rsid w:val="00664E55"/>
    <w:rsid w:val="006655EE"/>
    <w:rsid w:val="006679A4"/>
    <w:rsid w:val="00667EE7"/>
    <w:rsid w:val="00670922"/>
    <w:rsid w:val="00670BE1"/>
    <w:rsid w:val="00671EDD"/>
    <w:rsid w:val="0067218F"/>
    <w:rsid w:val="006730F4"/>
    <w:rsid w:val="006741F2"/>
    <w:rsid w:val="00674CC3"/>
    <w:rsid w:val="00675C72"/>
    <w:rsid w:val="006771F9"/>
    <w:rsid w:val="006776D7"/>
    <w:rsid w:val="006801B5"/>
    <w:rsid w:val="00681003"/>
    <w:rsid w:val="006817C9"/>
    <w:rsid w:val="00683ECE"/>
    <w:rsid w:val="0068499E"/>
    <w:rsid w:val="0068535F"/>
    <w:rsid w:val="00695FC2"/>
    <w:rsid w:val="00696949"/>
    <w:rsid w:val="00696EF7"/>
    <w:rsid w:val="00697052"/>
    <w:rsid w:val="006A46FB"/>
    <w:rsid w:val="006A5E28"/>
    <w:rsid w:val="006A697B"/>
    <w:rsid w:val="006A7AFF"/>
    <w:rsid w:val="006B1816"/>
    <w:rsid w:val="006B2099"/>
    <w:rsid w:val="006B50CF"/>
    <w:rsid w:val="006B771D"/>
    <w:rsid w:val="006C03B8"/>
    <w:rsid w:val="006C1DE4"/>
    <w:rsid w:val="006C4F1B"/>
    <w:rsid w:val="006C5EC9"/>
    <w:rsid w:val="006C6059"/>
    <w:rsid w:val="006C7522"/>
    <w:rsid w:val="006D6F08"/>
    <w:rsid w:val="006D7B1E"/>
    <w:rsid w:val="006E062C"/>
    <w:rsid w:val="006E1C82"/>
    <w:rsid w:val="006E24E2"/>
    <w:rsid w:val="006E28B7"/>
    <w:rsid w:val="006E2A9B"/>
    <w:rsid w:val="006E3310"/>
    <w:rsid w:val="006E4E39"/>
    <w:rsid w:val="006E565E"/>
    <w:rsid w:val="006E599D"/>
    <w:rsid w:val="006E673D"/>
    <w:rsid w:val="006E7D3B"/>
    <w:rsid w:val="006F1B70"/>
    <w:rsid w:val="006F341D"/>
    <w:rsid w:val="006F3CDE"/>
    <w:rsid w:val="006F58D4"/>
    <w:rsid w:val="006F6582"/>
    <w:rsid w:val="006F6A58"/>
    <w:rsid w:val="0070346E"/>
    <w:rsid w:val="00704EDB"/>
    <w:rsid w:val="00706101"/>
    <w:rsid w:val="00707072"/>
    <w:rsid w:val="00707D61"/>
    <w:rsid w:val="00712287"/>
    <w:rsid w:val="00712772"/>
    <w:rsid w:val="007148D3"/>
    <w:rsid w:val="00715B9A"/>
    <w:rsid w:val="00717A1D"/>
    <w:rsid w:val="00717EEA"/>
    <w:rsid w:val="007257D0"/>
    <w:rsid w:val="00726EA6"/>
    <w:rsid w:val="00727208"/>
    <w:rsid w:val="00727680"/>
    <w:rsid w:val="007348B1"/>
    <w:rsid w:val="007362A6"/>
    <w:rsid w:val="00736D7D"/>
    <w:rsid w:val="00740E58"/>
    <w:rsid w:val="00741AA6"/>
    <w:rsid w:val="00741CBF"/>
    <w:rsid w:val="007445A0"/>
    <w:rsid w:val="0074524B"/>
    <w:rsid w:val="00747D8B"/>
    <w:rsid w:val="00750F62"/>
    <w:rsid w:val="00751228"/>
    <w:rsid w:val="007571E1"/>
    <w:rsid w:val="007604B2"/>
    <w:rsid w:val="00760BD0"/>
    <w:rsid w:val="00765281"/>
    <w:rsid w:val="00766BAD"/>
    <w:rsid w:val="007729A2"/>
    <w:rsid w:val="00774599"/>
    <w:rsid w:val="007755F2"/>
    <w:rsid w:val="007759D6"/>
    <w:rsid w:val="00776971"/>
    <w:rsid w:val="00780A80"/>
    <w:rsid w:val="00780FC4"/>
    <w:rsid w:val="0078177E"/>
    <w:rsid w:val="0078304C"/>
    <w:rsid w:val="00783673"/>
    <w:rsid w:val="0078547B"/>
    <w:rsid w:val="00785490"/>
    <w:rsid w:val="0078748B"/>
    <w:rsid w:val="00791381"/>
    <w:rsid w:val="007925EA"/>
    <w:rsid w:val="00793CD8"/>
    <w:rsid w:val="00795C92"/>
    <w:rsid w:val="00796231"/>
    <w:rsid w:val="007A1CB3"/>
    <w:rsid w:val="007A306F"/>
    <w:rsid w:val="007A43A6"/>
    <w:rsid w:val="007A58A6"/>
    <w:rsid w:val="007B3D2D"/>
    <w:rsid w:val="007B50AE"/>
    <w:rsid w:val="007B51DF"/>
    <w:rsid w:val="007C05DD"/>
    <w:rsid w:val="007C3D18"/>
    <w:rsid w:val="007C5429"/>
    <w:rsid w:val="007C60BF"/>
    <w:rsid w:val="007C6A07"/>
    <w:rsid w:val="007C6A98"/>
    <w:rsid w:val="007C75A1"/>
    <w:rsid w:val="007C77A5"/>
    <w:rsid w:val="007D04E5"/>
    <w:rsid w:val="007D5901"/>
    <w:rsid w:val="007D7526"/>
    <w:rsid w:val="007E1ABB"/>
    <w:rsid w:val="007E1ECC"/>
    <w:rsid w:val="007E3BF7"/>
    <w:rsid w:val="007E4610"/>
    <w:rsid w:val="007E4715"/>
    <w:rsid w:val="007E505B"/>
    <w:rsid w:val="007E7091"/>
    <w:rsid w:val="007F0CD7"/>
    <w:rsid w:val="00802495"/>
    <w:rsid w:val="00803AAF"/>
    <w:rsid w:val="00803FAE"/>
    <w:rsid w:val="0080605F"/>
    <w:rsid w:val="00807786"/>
    <w:rsid w:val="00811FCB"/>
    <w:rsid w:val="008158D6"/>
    <w:rsid w:val="00815A9D"/>
    <w:rsid w:val="00817196"/>
    <w:rsid w:val="008235DB"/>
    <w:rsid w:val="00824AB4"/>
    <w:rsid w:val="00825C42"/>
    <w:rsid w:val="00825D25"/>
    <w:rsid w:val="00827D6F"/>
    <w:rsid w:val="00832C5E"/>
    <w:rsid w:val="008376AC"/>
    <w:rsid w:val="00843445"/>
    <w:rsid w:val="00843965"/>
    <w:rsid w:val="008444E8"/>
    <w:rsid w:val="00844E80"/>
    <w:rsid w:val="00846FE7"/>
    <w:rsid w:val="00850D2D"/>
    <w:rsid w:val="00856911"/>
    <w:rsid w:val="00864D0D"/>
    <w:rsid w:val="008677FD"/>
    <w:rsid w:val="008706D4"/>
    <w:rsid w:val="00870F47"/>
    <w:rsid w:val="00870F8A"/>
    <w:rsid w:val="008719A4"/>
    <w:rsid w:val="00871D23"/>
    <w:rsid w:val="00874312"/>
    <w:rsid w:val="0087437C"/>
    <w:rsid w:val="00875CD7"/>
    <w:rsid w:val="00876B4D"/>
    <w:rsid w:val="00877F18"/>
    <w:rsid w:val="008941E3"/>
    <w:rsid w:val="00894A88"/>
    <w:rsid w:val="00895386"/>
    <w:rsid w:val="0089634B"/>
    <w:rsid w:val="008A21FF"/>
    <w:rsid w:val="008A2CE2"/>
    <w:rsid w:val="008A30AC"/>
    <w:rsid w:val="008A326D"/>
    <w:rsid w:val="008A44B8"/>
    <w:rsid w:val="008A51A8"/>
    <w:rsid w:val="008A54C7"/>
    <w:rsid w:val="008A77D8"/>
    <w:rsid w:val="008B0483"/>
    <w:rsid w:val="008B120C"/>
    <w:rsid w:val="008B51A0"/>
    <w:rsid w:val="008B592A"/>
    <w:rsid w:val="008B7B5C"/>
    <w:rsid w:val="008C0C99"/>
    <w:rsid w:val="008C2017"/>
    <w:rsid w:val="008C307C"/>
    <w:rsid w:val="008C4958"/>
    <w:rsid w:val="008C4BAA"/>
    <w:rsid w:val="008C6AE8"/>
    <w:rsid w:val="008C7573"/>
    <w:rsid w:val="008D00A5"/>
    <w:rsid w:val="008D250A"/>
    <w:rsid w:val="008D256D"/>
    <w:rsid w:val="008D305F"/>
    <w:rsid w:val="008D34F1"/>
    <w:rsid w:val="008D39D8"/>
    <w:rsid w:val="008D6D1A"/>
    <w:rsid w:val="008E065E"/>
    <w:rsid w:val="008E0927"/>
    <w:rsid w:val="008E1909"/>
    <w:rsid w:val="008E37F7"/>
    <w:rsid w:val="008F1C4E"/>
    <w:rsid w:val="008F1EAB"/>
    <w:rsid w:val="008F2EE6"/>
    <w:rsid w:val="008F33DC"/>
    <w:rsid w:val="008F477F"/>
    <w:rsid w:val="00901042"/>
    <w:rsid w:val="00902350"/>
    <w:rsid w:val="0090336B"/>
    <w:rsid w:val="009053AA"/>
    <w:rsid w:val="00906939"/>
    <w:rsid w:val="00910B7D"/>
    <w:rsid w:val="00911DFB"/>
    <w:rsid w:val="009139D9"/>
    <w:rsid w:val="00913D66"/>
    <w:rsid w:val="00914AD8"/>
    <w:rsid w:val="00916079"/>
    <w:rsid w:val="00917CE9"/>
    <w:rsid w:val="00920BF2"/>
    <w:rsid w:val="00922010"/>
    <w:rsid w:val="009270B9"/>
    <w:rsid w:val="00931BD9"/>
    <w:rsid w:val="009368D3"/>
    <w:rsid w:val="009368F3"/>
    <w:rsid w:val="00941636"/>
    <w:rsid w:val="00943742"/>
    <w:rsid w:val="00945C05"/>
    <w:rsid w:val="009461E1"/>
    <w:rsid w:val="00946945"/>
    <w:rsid w:val="00947713"/>
    <w:rsid w:val="00950DE7"/>
    <w:rsid w:val="00953920"/>
    <w:rsid w:val="00953D47"/>
    <w:rsid w:val="0095681E"/>
    <w:rsid w:val="009572D4"/>
    <w:rsid w:val="00961921"/>
    <w:rsid w:val="0096430A"/>
    <w:rsid w:val="0096554B"/>
    <w:rsid w:val="0096584A"/>
    <w:rsid w:val="00970CD7"/>
    <w:rsid w:val="00971F08"/>
    <w:rsid w:val="00974086"/>
    <w:rsid w:val="0097603D"/>
    <w:rsid w:val="00976949"/>
    <w:rsid w:val="00980477"/>
    <w:rsid w:val="00985253"/>
    <w:rsid w:val="009853B3"/>
    <w:rsid w:val="00985DA0"/>
    <w:rsid w:val="00990630"/>
    <w:rsid w:val="00991761"/>
    <w:rsid w:val="00994DCA"/>
    <w:rsid w:val="009960EC"/>
    <w:rsid w:val="009970DD"/>
    <w:rsid w:val="009A0FBA"/>
    <w:rsid w:val="009A1601"/>
    <w:rsid w:val="009A3BB6"/>
    <w:rsid w:val="009A462D"/>
    <w:rsid w:val="009A5CBA"/>
    <w:rsid w:val="009A6B82"/>
    <w:rsid w:val="009A7028"/>
    <w:rsid w:val="009B1F30"/>
    <w:rsid w:val="009B3AC2"/>
    <w:rsid w:val="009B4B07"/>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66CB"/>
    <w:rsid w:val="00A031D8"/>
    <w:rsid w:val="00A048A8"/>
    <w:rsid w:val="00A04F49"/>
    <w:rsid w:val="00A11C60"/>
    <w:rsid w:val="00A13E54"/>
    <w:rsid w:val="00A153F8"/>
    <w:rsid w:val="00A17F63"/>
    <w:rsid w:val="00A2193B"/>
    <w:rsid w:val="00A21A7C"/>
    <w:rsid w:val="00A2351A"/>
    <w:rsid w:val="00A264A9"/>
    <w:rsid w:val="00A26917"/>
    <w:rsid w:val="00A26DCF"/>
    <w:rsid w:val="00A27785"/>
    <w:rsid w:val="00A30187"/>
    <w:rsid w:val="00A3448A"/>
    <w:rsid w:val="00A36297"/>
    <w:rsid w:val="00A41E2B"/>
    <w:rsid w:val="00A422A3"/>
    <w:rsid w:val="00A457D2"/>
    <w:rsid w:val="00A45B74"/>
    <w:rsid w:val="00A52E1D"/>
    <w:rsid w:val="00A56913"/>
    <w:rsid w:val="00A57B05"/>
    <w:rsid w:val="00A61499"/>
    <w:rsid w:val="00A62A77"/>
    <w:rsid w:val="00A63483"/>
    <w:rsid w:val="00A657D7"/>
    <w:rsid w:val="00A660AC"/>
    <w:rsid w:val="00A67E6C"/>
    <w:rsid w:val="00A71114"/>
    <w:rsid w:val="00A71B99"/>
    <w:rsid w:val="00A7388E"/>
    <w:rsid w:val="00A739D0"/>
    <w:rsid w:val="00A761D4"/>
    <w:rsid w:val="00A77EC4"/>
    <w:rsid w:val="00A90AEE"/>
    <w:rsid w:val="00A92879"/>
    <w:rsid w:val="00A9442A"/>
    <w:rsid w:val="00AA016F"/>
    <w:rsid w:val="00AA1ED6"/>
    <w:rsid w:val="00AA3649"/>
    <w:rsid w:val="00AA51D6"/>
    <w:rsid w:val="00AB0BC8"/>
    <w:rsid w:val="00AB11CA"/>
    <w:rsid w:val="00AB14D9"/>
    <w:rsid w:val="00AB2AF0"/>
    <w:rsid w:val="00AB4AB8"/>
    <w:rsid w:val="00AB655E"/>
    <w:rsid w:val="00AB7AC5"/>
    <w:rsid w:val="00AC007F"/>
    <w:rsid w:val="00AC2ECD"/>
    <w:rsid w:val="00AC3119"/>
    <w:rsid w:val="00AC49FB"/>
    <w:rsid w:val="00AC5A10"/>
    <w:rsid w:val="00AD0AA3"/>
    <w:rsid w:val="00AD2ED0"/>
    <w:rsid w:val="00AD3F94"/>
    <w:rsid w:val="00AD4A5A"/>
    <w:rsid w:val="00AD5CF1"/>
    <w:rsid w:val="00AD7718"/>
    <w:rsid w:val="00AE27AC"/>
    <w:rsid w:val="00AE3821"/>
    <w:rsid w:val="00AE40E0"/>
    <w:rsid w:val="00AE4DBA"/>
    <w:rsid w:val="00AE4F07"/>
    <w:rsid w:val="00AF1C5D"/>
    <w:rsid w:val="00AF42D7"/>
    <w:rsid w:val="00B006FE"/>
    <w:rsid w:val="00B007CB"/>
    <w:rsid w:val="00B023A1"/>
    <w:rsid w:val="00B02AA9"/>
    <w:rsid w:val="00B02FA3"/>
    <w:rsid w:val="00B05084"/>
    <w:rsid w:val="00B06C97"/>
    <w:rsid w:val="00B157F9"/>
    <w:rsid w:val="00B159D0"/>
    <w:rsid w:val="00B20256"/>
    <w:rsid w:val="00B20D09"/>
    <w:rsid w:val="00B2763F"/>
    <w:rsid w:val="00B27AAC"/>
    <w:rsid w:val="00B30929"/>
    <w:rsid w:val="00B30D2B"/>
    <w:rsid w:val="00B31B81"/>
    <w:rsid w:val="00B372AA"/>
    <w:rsid w:val="00B40445"/>
    <w:rsid w:val="00B409E0"/>
    <w:rsid w:val="00B40F70"/>
    <w:rsid w:val="00B41888"/>
    <w:rsid w:val="00B45A52"/>
    <w:rsid w:val="00B45DD2"/>
    <w:rsid w:val="00B46175"/>
    <w:rsid w:val="00B548B7"/>
    <w:rsid w:val="00B61870"/>
    <w:rsid w:val="00B654B1"/>
    <w:rsid w:val="00B664C7"/>
    <w:rsid w:val="00B73503"/>
    <w:rsid w:val="00B739F6"/>
    <w:rsid w:val="00B75FA3"/>
    <w:rsid w:val="00B81A6C"/>
    <w:rsid w:val="00B83975"/>
    <w:rsid w:val="00B85DE5"/>
    <w:rsid w:val="00B90F73"/>
    <w:rsid w:val="00B93A2C"/>
    <w:rsid w:val="00B93B59"/>
    <w:rsid w:val="00B9406A"/>
    <w:rsid w:val="00BA2280"/>
    <w:rsid w:val="00BA2A08"/>
    <w:rsid w:val="00BA56D2"/>
    <w:rsid w:val="00BA69DD"/>
    <w:rsid w:val="00BA7172"/>
    <w:rsid w:val="00BA76E0"/>
    <w:rsid w:val="00BB2A25"/>
    <w:rsid w:val="00BB51E9"/>
    <w:rsid w:val="00BC0FDC"/>
    <w:rsid w:val="00BC3053"/>
    <w:rsid w:val="00BC4D2E"/>
    <w:rsid w:val="00BD48AC"/>
    <w:rsid w:val="00BD5F1A"/>
    <w:rsid w:val="00BE1234"/>
    <w:rsid w:val="00BE135D"/>
    <w:rsid w:val="00BE2FA6"/>
    <w:rsid w:val="00BE333F"/>
    <w:rsid w:val="00BE60B7"/>
    <w:rsid w:val="00BE7406"/>
    <w:rsid w:val="00BE7603"/>
    <w:rsid w:val="00BF3279"/>
    <w:rsid w:val="00BF3900"/>
    <w:rsid w:val="00BF74C7"/>
    <w:rsid w:val="00C015F1"/>
    <w:rsid w:val="00C01F33"/>
    <w:rsid w:val="00C02CC6"/>
    <w:rsid w:val="00C0361D"/>
    <w:rsid w:val="00C040F7"/>
    <w:rsid w:val="00C044AB"/>
    <w:rsid w:val="00C04E83"/>
    <w:rsid w:val="00C05706"/>
    <w:rsid w:val="00C06081"/>
    <w:rsid w:val="00C065FF"/>
    <w:rsid w:val="00C07377"/>
    <w:rsid w:val="00C10478"/>
    <w:rsid w:val="00C11B90"/>
    <w:rsid w:val="00C11DA7"/>
    <w:rsid w:val="00C12107"/>
    <w:rsid w:val="00C14D4B"/>
    <w:rsid w:val="00C154BB"/>
    <w:rsid w:val="00C279B5"/>
    <w:rsid w:val="00C27C45"/>
    <w:rsid w:val="00C30876"/>
    <w:rsid w:val="00C30FB8"/>
    <w:rsid w:val="00C328E3"/>
    <w:rsid w:val="00C33462"/>
    <w:rsid w:val="00C33D2A"/>
    <w:rsid w:val="00C3719D"/>
    <w:rsid w:val="00C37CB2"/>
    <w:rsid w:val="00C473A5"/>
    <w:rsid w:val="00C54995"/>
    <w:rsid w:val="00C54D41"/>
    <w:rsid w:val="00C60783"/>
    <w:rsid w:val="00C64672"/>
    <w:rsid w:val="00C70697"/>
    <w:rsid w:val="00C72093"/>
    <w:rsid w:val="00C72270"/>
    <w:rsid w:val="00C725D8"/>
    <w:rsid w:val="00C72EF4"/>
    <w:rsid w:val="00C744FE"/>
    <w:rsid w:val="00C75D2F"/>
    <w:rsid w:val="00C767BE"/>
    <w:rsid w:val="00C76E3C"/>
    <w:rsid w:val="00C81568"/>
    <w:rsid w:val="00C86BD7"/>
    <w:rsid w:val="00C9027A"/>
    <w:rsid w:val="00C9068E"/>
    <w:rsid w:val="00C90A2A"/>
    <w:rsid w:val="00C93814"/>
    <w:rsid w:val="00C93C4B"/>
    <w:rsid w:val="00C944AB"/>
    <w:rsid w:val="00C95B40"/>
    <w:rsid w:val="00C95E61"/>
    <w:rsid w:val="00CA1ED8"/>
    <w:rsid w:val="00CA70A7"/>
    <w:rsid w:val="00CB1F63"/>
    <w:rsid w:val="00CB7170"/>
    <w:rsid w:val="00CC040E"/>
    <w:rsid w:val="00CC111F"/>
    <w:rsid w:val="00CC2011"/>
    <w:rsid w:val="00CC3EA0"/>
    <w:rsid w:val="00CC7B45"/>
    <w:rsid w:val="00CD1188"/>
    <w:rsid w:val="00CD2ED1"/>
    <w:rsid w:val="00CD337B"/>
    <w:rsid w:val="00CD4F44"/>
    <w:rsid w:val="00CE0424"/>
    <w:rsid w:val="00CE7561"/>
    <w:rsid w:val="00CF1053"/>
    <w:rsid w:val="00CF1354"/>
    <w:rsid w:val="00CF3B1F"/>
    <w:rsid w:val="00CF3BF6"/>
    <w:rsid w:val="00CF625B"/>
    <w:rsid w:val="00CF687E"/>
    <w:rsid w:val="00D0349B"/>
    <w:rsid w:val="00D05A02"/>
    <w:rsid w:val="00D10249"/>
    <w:rsid w:val="00D102ED"/>
    <w:rsid w:val="00D115C3"/>
    <w:rsid w:val="00D11897"/>
    <w:rsid w:val="00D13135"/>
    <w:rsid w:val="00D13E4E"/>
    <w:rsid w:val="00D239A7"/>
    <w:rsid w:val="00D23F47"/>
    <w:rsid w:val="00D24E57"/>
    <w:rsid w:val="00D31743"/>
    <w:rsid w:val="00D32EB8"/>
    <w:rsid w:val="00D34136"/>
    <w:rsid w:val="00D36E71"/>
    <w:rsid w:val="00D377F2"/>
    <w:rsid w:val="00D37D87"/>
    <w:rsid w:val="00D40B33"/>
    <w:rsid w:val="00D40FC6"/>
    <w:rsid w:val="00D4318F"/>
    <w:rsid w:val="00D438BF"/>
    <w:rsid w:val="00D440F8"/>
    <w:rsid w:val="00D51EA3"/>
    <w:rsid w:val="00D546FF"/>
    <w:rsid w:val="00D55AD5"/>
    <w:rsid w:val="00D57647"/>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DA6"/>
    <w:rsid w:val="00DA305E"/>
    <w:rsid w:val="00DA5417"/>
    <w:rsid w:val="00DA56E8"/>
    <w:rsid w:val="00DB0A9F"/>
    <w:rsid w:val="00DB377D"/>
    <w:rsid w:val="00DB69BA"/>
    <w:rsid w:val="00DC2D36"/>
    <w:rsid w:val="00DC53EF"/>
    <w:rsid w:val="00DE5608"/>
    <w:rsid w:val="00DE58D0"/>
    <w:rsid w:val="00DE654F"/>
    <w:rsid w:val="00DE71F8"/>
    <w:rsid w:val="00DF0B6E"/>
    <w:rsid w:val="00DF15E0"/>
    <w:rsid w:val="00DF37A0"/>
    <w:rsid w:val="00DF39B9"/>
    <w:rsid w:val="00E029F9"/>
    <w:rsid w:val="00E110E7"/>
    <w:rsid w:val="00E11B20"/>
    <w:rsid w:val="00E1785D"/>
    <w:rsid w:val="00E17FA2"/>
    <w:rsid w:val="00E22330"/>
    <w:rsid w:val="00E235BD"/>
    <w:rsid w:val="00E30B5A"/>
    <w:rsid w:val="00E3123D"/>
    <w:rsid w:val="00E31461"/>
    <w:rsid w:val="00E31D43"/>
    <w:rsid w:val="00E32608"/>
    <w:rsid w:val="00E339F2"/>
    <w:rsid w:val="00E34188"/>
    <w:rsid w:val="00E344C4"/>
    <w:rsid w:val="00E34B6E"/>
    <w:rsid w:val="00E35559"/>
    <w:rsid w:val="00E3723A"/>
    <w:rsid w:val="00E37860"/>
    <w:rsid w:val="00E446F1"/>
    <w:rsid w:val="00E46886"/>
    <w:rsid w:val="00E47AEF"/>
    <w:rsid w:val="00E53B75"/>
    <w:rsid w:val="00E54E3B"/>
    <w:rsid w:val="00E57565"/>
    <w:rsid w:val="00E61225"/>
    <w:rsid w:val="00E63838"/>
    <w:rsid w:val="00E641FD"/>
    <w:rsid w:val="00E64434"/>
    <w:rsid w:val="00E662FD"/>
    <w:rsid w:val="00E67C51"/>
    <w:rsid w:val="00E72EFC"/>
    <w:rsid w:val="00E758EC"/>
    <w:rsid w:val="00E76B6D"/>
    <w:rsid w:val="00E76CF6"/>
    <w:rsid w:val="00E77DD4"/>
    <w:rsid w:val="00E8234C"/>
    <w:rsid w:val="00E83AA9"/>
    <w:rsid w:val="00E83BD7"/>
    <w:rsid w:val="00E85928"/>
    <w:rsid w:val="00E8620E"/>
    <w:rsid w:val="00E87822"/>
    <w:rsid w:val="00E90395"/>
    <w:rsid w:val="00E90E49"/>
    <w:rsid w:val="00E917F9"/>
    <w:rsid w:val="00E9291C"/>
    <w:rsid w:val="00E93FFE"/>
    <w:rsid w:val="00E94F8A"/>
    <w:rsid w:val="00EA5F00"/>
    <w:rsid w:val="00EA7A41"/>
    <w:rsid w:val="00EB0635"/>
    <w:rsid w:val="00EB077B"/>
    <w:rsid w:val="00EB4EA2"/>
    <w:rsid w:val="00EC24D5"/>
    <w:rsid w:val="00EC27C6"/>
    <w:rsid w:val="00EC3D8F"/>
    <w:rsid w:val="00EC4207"/>
    <w:rsid w:val="00EC5653"/>
    <w:rsid w:val="00EC71CE"/>
    <w:rsid w:val="00ED0552"/>
    <w:rsid w:val="00ED1006"/>
    <w:rsid w:val="00EE70F5"/>
    <w:rsid w:val="00EF0930"/>
    <w:rsid w:val="00EF18FE"/>
    <w:rsid w:val="00EF5787"/>
    <w:rsid w:val="00EF60D0"/>
    <w:rsid w:val="00F0528D"/>
    <w:rsid w:val="00F06C67"/>
    <w:rsid w:val="00F06DFD"/>
    <w:rsid w:val="00F071D1"/>
    <w:rsid w:val="00F07533"/>
    <w:rsid w:val="00F10629"/>
    <w:rsid w:val="00F15FA5"/>
    <w:rsid w:val="00F209B7"/>
    <w:rsid w:val="00F223E0"/>
    <w:rsid w:val="00F2376F"/>
    <w:rsid w:val="00F243D8"/>
    <w:rsid w:val="00F30828"/>
    <w:rsid w:val="00F313D6"/>
    <w:rsid w:val="00F40F0C"/>
    <w:rsid w:val="00F42AA6"/>
    <w:rsid w:val="00F4766C"/>
    <w:rsid w:val="00F5060E"/>
    <w:rsid w:val="00F507D1"/>
    <w:rsid w:val="00F519CE"/>
    <w:rsid w:val="00F51ADA"/>
    <w:rsid w:val="00F56E32"/>
    <w:rsid w:val="00F60203"/>
    <w:rsid w:val="00F607C5"/>
    <w:rsid w:val="00F60DEA"/>
    <w:rsid w:val="00F62332"/>
    <w:rsid w:val="00F6302A"/>
    <w:rsid w:val="00F63950"/>
    <w:rsid w:val="00F64C2B"/>
    <w:rsid w:val="00F651BE"/>
    <w:rsid w:val="00F67F53"/>
    <w:rsid w:val="00F703BE"/>
    <w:rsid w:val="00F71F69"/>
    <w:rsid w:val="00F72B72"/>
    <w:rsid w:val="00F74BB9"/>
    <w:rsid w:val="00F7529C"/>
    <w:rsid w:val="00F75582"/>
    <w:rsid w:val="00F76EFA"/>
    <w:rsid w:val="00F77FD5"/>
    <w:rsid w:val="00F804BE"/>
    <w:rsid w:val="00F817CE"/>
    <w:rsid w:val="00F82D96"/>
    <w:rsid w:val="00F8456C"/>
    <w:rsid w:val="00F85460"/>
    <w:rsid w:val="00F8586A"/>
    <w:rsid w:val="00F859D8"/>
    <w:rsid w:val="00F868F5"/>
    <w:rsid w:val="00F9056A"/>
    <w:rsid w:val="00F90F8D"/>
    <w:rsid w:val="00F92782"/>
    <w:rsid w:val="00F93AA9"/>
    <w:rsid w:val="00F96985"/>
    <w:rsid w:val="00F97838"/>
    <w:rsid w:val="00FA188A"/>
    <w:rsid w:val="00FA2BB3"/>
    <w:rsid w:val="00FB212E"/>
    <w:rsid w:val="00FB4C80"/>
    <w:rsid w:val="00FB6A6A"/>
    <w:rsid w:val="00FC7429"/>
    <w:rsid w:val="00FD07F6"/>
    <w:rsid w:val="00FD1EC8"/>
    <w:rsid w:val="00FD47ED"/>
    <w:rsid w:val="00FD74DB"/>
    <w:rsid w:val="00FD7660"/>
    <w:rsid w:val="00FE0655"/>
    <w:rsid w:val="00FE2365"/>
    <w:rsid w:val="00FE37D7"/>
    <w:rsid w:val="00FE4C7B"/>
    <w:rsid w:val="00FE5250"/>
    <w:rsid w:val="00FE7336"/>
    <w:rsid w:val="00FE787C"/>
    <w:rsid w:val="00FF45A5"/>
    <w:rsid w:val="00FF5C91"/>
    <w:rsid w:val="00FF76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0E063"/>
  <w15:chartTrackingRefBased/>
  <w15:docId w15:val="{416A2DEE-26AE-41EF-8D89-0ED711B7F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basedOn w:val="Normal"/>
    <w:next w:val="Normal"/>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99"/>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BA7172"/>
    <w:rPr>
      <w:rFonts w:ascii="Courier New" w:hAnsi="Courier New"/>
      <w:lang w:val="nb-NO"/>
    </w:rPr>
  </w:style>
  <w:style w:type="character" w:customStyle="1" w:styleId="PlainTextChar">
    <w:name w:val="Plain Text Char"/>
    <w:link w:val="PlainText"/>
    <w:uiPriority w:val="99"/>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Revision">
    <w:name w:val="Revision"/>
    <w:hidden/>
    <w:uiPriority w:val="99"/>
    <w:semiHidden/>
    <w:rsid w:val="00B40F70"/>
    <w:rPr>
      <w:rFonts w:ascii="Times New Roman" w:hAnsi="Times New Roman"/>
      <w:lang w:eastAsia="ja-JP"/>
    </w:rPr>
  </w:style>
  <w:style w:type="paragraph" w:styleId="Subtitle">
    <w:name w:val="Subtitle"/>
    <w:basedOn w:val="Normal"/>
    <w:next w:val="Normal"/>
    <w:link w:val="SubtitleChar"/>
    <w:qFormat/>
    <w:rsid w:val="00F6233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332"/>
    <w:rPr>
      <w:rFonts w:asciiTheme="minorHAnsi" w:eastAsiaTheme="minorEastAsia" w:hAnsiTheme="minorHAnsi" w:cstheme="minorBidi"/>
      <w:color w:val="5A5A5A" w:themeColor="text1" w:themeTint="A5"/>
      <w:spacing w:val="15"/>
      <w:sz w:val="22"/>
      <w:szCs w:val="22"/>
      <w:lang w:eastAsia="ja-JP"/>
    </w:rPr>
  </w:style>
  <w:style w:type="paragraph" w:styleId="NoSpacing">
    <w:name w:val="No Spacing"/>
    <w:uiPriority w:val="1"/>
    <w:qFormat/>
    <w:rsid w:val="00F62332"/>
    <w:pPr>
      <w:overflowPunct w:val="0"/>
      <w:autoSpaceDE w:val="0"/>
      <w:autoSpaceDN w:val="0"/>
      <w:adjustRightInd w:val="0"/>
      <w:textAlignment w:val="baseline"/>
    </w:pPr>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4928">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287248772">
      <w:bodyDiv w:val="1"/>
      <w:marLeft w:val="0"/>
      <w:marRight w:val="0"/>
      <w:marTop w:val="0"/>
      <w:marBottom w:val="0"/>
      <w:divBdr>
        <w:top w:val="none" w:sz="0" w:space="0" w:color="auto"/>
        <w:left w:val="none" w:sz="0" w:space="0" w:color="auto"/>
        <w:bottom w:val="none" w:sz="0" w:space="0" w:color="auto"/>
        <w:right w:val="none" w:sz="0" w:space="0" w:color="auto"/>
      </w:divBdr>
      <w:divsChild>
        <w:div w:id="913851794">
          <w:marLeft w:val="835"/>
          <w:marRight w:val="0"/>
          <w:marTop w:val="86"/>
          <w:marBottom w:val="0"/>
          <w:divBdr>
            <w:top w:val="none" w:sz="0" w:space="0" w:color="auto"/>
            <w:left w:val="none" w:sz="0" w:space="0" w:color="auto"/>
            <w:bottom w:val="none" w:sz="0" w:space="0" w:color="auto"/>
            <w:right w:val="none" w:sz="0" w:space="0" w:color="auto"/>
          </w:divBdr>
        </w:div>
        <w:div w:id="1789544293">
          <w:marLeft w:val="274"/>
          <w:marRight w:val="0"/>
          <w:marTop w:val="96"/>
          <w:marBottom w:val="0"/>
          <w:divBdr>
            <w:top w:val="none" w:sz="0" w:space="0" w:color="auto"/>
            <w:left w:val="none" w:sz="0" w:space="0" w:color="auto"/>
            <w:bottom w:val="none" w:sz="0" w:space="0" w:color="auto"/>
            <w:right w:val="none" w:sz="0" w:space="0" w:color="auto"/>
          </w:divBdr>
        </w:div>
      </w:divsChild>
    </w:div>
    <w:div w:id="409304356">
      <w:bodyDiv w:val="1"/>
      <w:marLeft w:val="0"/>
      <w:marRight w:val="0"/>
      <w:marTop w:val="0"/>
      <w:marBottom w:val="0"/>
      <w:divBdr>
        <w:top w:val="none" w:sz="0" w:space="0" w:color="auto"/>
        <w:left w:val="none" w:sz="0" w:space="0" w:color="auto"/>
        <w:bottom w:val="none" w:sz="0" w:space="0" w:color="auto"/>
        <w:right w:val="none" w:sz="0" w:space="0" w:color="auto"/>
      </w:divBdr>
      <w:divsChild>
        <w:div w:id="1807313531">
          <w:marLeft w:val="274"/>
          <w:marRight w:val="0"/>
          <w:marTop w:val="96"/>
          <w:marBottom w:val="0"/>
          <w:divBdr>
            <w:top w:val="none" w:sz="0" w:space="0" w:color="auto"/>
            <w:left w:val="none" w:sz="0" w:space="0" w:color="auto"/>
            <w:bottom w:val="none" w:sz="0" w:space="0" w:color="auto"/>
            <w:right w:val="none" w:sz="0" w:space="0" w:color="auto"/>
          </w:divBdr>
        </w:div>
      </w:divsChild>
    </w:div>
    <w:div w:id="604505828">
      <w:bodyDiv w:val="1"/>
      <w:marLeft w:val="0"/>
      <w:marRight w:val="0"/>
      <w:marTop w:val="0"/>
      <w:marBottom w:val="0"/>
      <w:divBdr>
        <w:top w:val="none" w:sz="0" w:space="0" w:color="auto"/>
        <w:left w:val="none" w:sz="0" w:space="0" w:color="auto"/>
        <w:bottom w:val="none" w:sz="0" w:space="0" w:color="auto"/>
        <w:right w:val="none" w:sz="0" w:space="0" w:color="auto"/>
      </w:divBdr>
    </w:div>
    <w:div w:id="670716644">
      <w:bodyDiv w:val="1"/>
      <w:marLeft w:val="0"/>
      <w:marRight w:val="0"/>
      <w:marTop w:val="0"/>
      <w:marBottom w:val="0"/>
      <w:divBdr>
        <w:top w:val="none" w:sz="0" w:space="0" w:color="auto"/>
        <w:left w:val="none" w:sz="0" w:space="0" w:color="auto"/>
        <w:bottom w:val="none" w:sz="0" w:space="0" w:color="auto"/>
        <w:right w:val="none" w:sz="0" w:space="0" w:color="auto"/>
      </w:divBdr>
    </w:div>
    <w:div w:id="973025184">
      <w:bodyDiv w:val="1"/>
      <w:marLeft w:val="0"/>
      <w:marRight w:val="0"/>
      <w:marTop w:val="0"/>
      <w:marBottom w:val="0"/>
      <w:divBdr>
        <w:top w:val="none" w:sz="0" w:space="0" w:color="auto"/>
        <w:left w:val="none" w:sz="0" w:space="0" w:color="auto"/>
        <w:bottom w:val="none" w:sz="0" w:space="0" w:color="auto"/>
        <w:right w:val="none" w:sz="0" w:space="0" w:color="auto"/>
      </w:divBdr>
      <w:divsChild>
        <w:div w:id="1531795977">
          <w:marLeft w:val="274"/>
          <w:marRight w:val="0"/>
          <w:marTop w:val="96"/>
          <w:marBottom w:val="0"/>
          <w:divBdr>
            <w:top w:val="none" w:sz="0" w:space="0" w:color="auto"/>
            <w:left w:val="none" w:sz="0" w:space="0" w:color="auto"/>
            <w:bottom w:val="none" w:sz="0" w:space="0" w:color="auto"/>
            <w:right w:val="none" w:sz="0" w:space="0" w:color="auto"/>
          </w:divBdr>
        </w:div>
      </w:divsChild>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80777080">
      <w:bodyDiv w:val="1"/>
      <w:marLeft w:val="0"/>
      <w:marRight w:val="0"/>
      <w:marTop w:val="0"/>
      <w:marBottom w:val="0"/>
      <w:divBdr>
        <w:top w:val="none" w:sz="0" w:space="0" w:color="auto"/>
        <w:left w:val="none" w:sz="0" w:space="0" w:color="auto"/>
        <w:bottom w:val="none" w:sz="0" w:space="0" w:color="auto"/>
        <w:right w:val="none" w:sz="0" w:space="0" w:color="auto"/>
      </w:divBdr>
    </w:div>
    <w:div w:id="1414163116">
      <w:bodyDiv w:val="1"/>
      <w:marLeft w:val="0"/>
      <w:marRight w:val="0"/>
      <w:marTop w:val="0"/>
      <w:marBottom w:val="0"/>
      <w:divBdr>
        <w:top w:val="none" w:sz="0" w:space="0" w:color="auto"/>
        <w:left w:val="none" w:sz="0" w:space="0" w:color="auto"/>
        <w:bottom w:val="none" w:sz="0" w:space="0" w:color="auto"/>
        <w:right w:val="none" w:sz="0" w:space="0" w:color="auto"/>
      </w:divBdr>
    </w:div>
    <w:div w:id="1582060902">
      <w:bodyDiv w:val="1"/>
      <w:marLeft w:val="0"/>
      <w:marRight w:val="0"/>
      <w:marTop w:val="0"/>
      <w:marBottom w:val="0"/>
      <w:divBdr>
        <w:top w:val="none" w:sz="0" w:space="0" w:color="auto"/>
        <w:left w:val="none" w:sz="0" w:space="0" w:color="auto"/>
        <w:bottom w:val="none" w:sz="0" w:space="0" w:color="auto"/>
        <w:right w:val="none" w:sz="0" w:space="0" w:color="auto"/>
      </w:divBdr>
    </w:div>
    <w:div w:id="1718161490">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24042556">
      <w:bodyDiv w:val="1"/>
      <w:marLeft w:val="0"/>
      <w:marRight w:val="0"/>
      <w:marTop w:val="0"/>
      <w:marBottom w:val="0"/>
      <w:divBdr>
        <w:top w:val="none" w:sz="0" w:space="0" w:color="auto"/>
        <w:left w:val="none" w:sz="0" w:space="0" w:color="auto"/>
        <w:bottom w:val="none" w:sz="0" w:space="0" w:color="auto"/>
        <w:right w:val="none" w:sz="0" w:space="0" w:color="auto"/>
      </w:divBdr>
      <w:divsChild>
        <w:div w:id="1049306608">
          <w:marLeft w:val="835"/>
          <w:marRight w:val="0"/>
          <w:marTop w:val="77"/>
          <w:marBottom w:val="0"/>
          <w:divBdr>
            <w:top w:val="none" w:sz="0" w:space="0" w:color="auto"/>
            <w:left w:val="none" w:sz="0" w:space="0" w:color="auto"/>
            <w:bottom w:val="none" w:sz="0" w:space="0" w:color="auto"/>
            <w:right w:val="none" w:sz="0" w:space="0" w:color="auto"/>
          </w:divBdr>
        </w:div>
        <w:div w:id="1313094104">
          <w:marLeft w:val="835"/>
          <w:marRight w:val="0"/>
          <w:marTop w:val="77"/>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5NUHHDQN7SK2-1476151046-34975</_dlc_DocId>
    <_dlc_DocIdUrl xmlns="f166a696-7b5b-4ccd-9f0c-ffde0cceec81">
      <Url>https://ericsson.sharepoint.com/sites/star/_layouts/15/DocIdRedir.aspx?ID=5NUHHDQN7SK2-1476151046-34975</Url>
      <Description>5NUHHDQN7SK2-1476151046-34975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5BA4E-08BE-4B61-BDEF-D1997B6652A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4F7BC62-DA0E-4608-B5A9-809417E85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8E25CC-C424-4CE2-8594-4DCEC9F4CDD2}">
  <ds:schemaRefs>
    <ds:schemaRef ds:uri="Microsoft.SharePoint.Taxonomy.ContentTypeSync"/>
  </ds:schemaRefs>
</ds:datastoreItem>
</file>

<file path=customXml/itemProps4.xml><?xml version="1.0" encoding="utf-8"?>
<ds:datastoreItem xmlns:ds="http://schemas.openxmlformats.org/officeDocument/2006/customXml" ds:itemID="{975EB2DB-C29B-438D-B7D9-78F728D4A750}">
  <ds:schemaRefs>
    <ds:schemaRef ds:uri="http://schemas.microsoft.com/sharepoint/events"/>
  </ds:schemaRefs>
</ds:datastoreItem>
</file>

<file path=customXml/itemProps5.xml><?xml version="1.0" encoding="utf-8"?>
<ds:datastoreItem xmlns:ds="http://schemas.openxmlformats.org/officeDocument/2006/customXml" ds:itemID="{0D18F939-503A-4E02-A698-F9551CAE4A63}">
  <ds:schemaRefs>
    <ds:schemaRef ds:uri="http://schemas.microsoft.com/sharepoint/v3/contenttype/forms"/>
  </ds:schemaRefs>
</ds:datastoreItem>
</file>

<file path=customXml/itemProps6.xml><?xml version="1.0" encoding="utf-8"?>
<ds:datastoreItem xmlns:ds="http://schemas.openxmlformats.org/officeDocument/2006/customXml" ds:itemID="{AC8FE291-BE8F-498A-8D12-DC0C4AE23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0</TotalTime>
  <Pages>5</Pages>
  <Words>1851</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12381</CharactersWithSpaces>
  <SharedDoc>false</SharedDoc>
  <HLinks>
    <vt:vector size="54" baseType="variant">
      <vt:variant>
        <vt:i4>1114161</vt:i4>
      </vt:variant>
      <vt:variant>
        <vt:i4>44</vt:i4>
      </vt:variant>
      <vt:variant>
        <vt:i4>0</vt:i4>
      </vt:variant>
      <vt:variant>
        <vt:i4>5</vt:i4>
      </vt:variant>
      <vt:variant>
        <vt:lpwstr/>
      </vt:variant>
      <vt:variant>
        <vt:lpwstr>_Toc528684468</vt:lpwstr>
      </vt:variant>
      <vt:variant>
        <vt:i4>1114161</vt:i4>
      </vt:variant>
      <vt:variant>
        <vt:i4>41</vt:i4>
      </vt:variant>
      <vt:variant>
        <vt:i4>0</vt:i4>
      </vt:variant>
      <vt:variant>
        <vt:i4>5</vt:i4>
      </vt:variant>
      <vt:variant>
        <vt:lpwstr/>
      </vt:variant>
      <vt:variant>
        <vt:lpwstr>_Toc528684467</vt:lpwstr>
      </vt:variant>
      <vt:variant>
        <vt:i4>1114161</vt:i4>
      </vt:variant>
      <vt:variant>
        <vt:i4>38</vt:i4>
      </vt:variant>
      <vt:variant>
        <vt:i4>0</vt:i4>
      </vt:variant>
      <vt:variant>
        <vt:i4>5</vt:i4>
      </vt:variant>
      <vt:variant>
        <vt:lpwstr/>
      </vt:variant>
      <vt:variant>
        <vt:lpwstr>_Toc528684466</vt:lpwstr>
      </vt:variant>
      <vt:variant>
        <vt:i4>1114161</vt:i4>
      </vt:variant>
      <vt:variant>
        <vt:i4>35</vt:i4>
      </vt:variant>
      <vt:variant>
        <vt:i4>0</vt:i4>
      </vt:variant>
      <vt:variant>
        <vt:i4>5</vt:i4>
      </vt:variant>
      <vt:variant>
        <vt:lpwstr/>
      </vt:variant>
      <vt:variant>
        <vt:lpwstr>_Toc528684465</vt:lpwstr>
      </vt:variant>
      <vt:variant>
        <vt:i4>1114161</vt:i4>
      </vt:variant>
      <vt:variant>
        <vt:i4>32</vt:i4>
      </vt:variant>
      <vt:variant>
        <vt:i4>0</vt:i4>
      </vt:variant>
      <vt:variant>
        <vt:i4>5</vt:i4>
      </vt:variant>
      <vt:variant>
        <vt:lpwstr/>
      </vt:variant>
      <vt:variant>
        <vt:lpwstr>_Toc528684464</vt:lpwstr>
      </vt:variant>
      <vt:variant>
        <vt:i4>1114161</vt:i4>
      </vt:variant>
      <vt:variant>
        <vt:i4>29</vt:i4>
      </vt:variant>
      <vt:variant>
        <vt:i4>0</vt:i4>
      </vt:variant>
      <vt:variant>
        <vt:i4>5</vt:i4>
      </vt:variant>
      <vt:variant>
        <vt:lpwstr/>
      </vt:variant>
      <vt:variant>
        <vt:lpwstr>_Toc528684463</vt:lpwstr>
      </vt:variant>
      <vt:variant>
        <vt:i4>1114161</vt:i4>
      </vt:variant>
      <vt:variant>
        <vt:i4>26</vt:i4>
      </vt:variant>
      <vt:variant>
        <vt:i4>0</vt:i4>
      </vt:variant>
      <vt:variant>
        <vt:i4>5</vt:i4>
      </vt:variant>
      <vt:variant>
        <vt:lpwstr/>
      </vt:variant>
      <vt:variant>
        <vt:lpwstr>_Toc528684462</vt:lpwstr>
      </vt:variant>
      <vt:variant>
        <vt:i4>1572915</vt:i4>
      </vt:variant>
      <vt:variant>
        <vt:i4>20</vt:i4>
      </vt:variant>
      <vt:variant>
        <vt:i4>0</vt:i4>
      </vt:variant>
      <vt:variant>
        <vt:i4>5</vt:i4>
      </vt:variant>
      <vt:variant>
        <vt:lpwstr/>
      </vt:variant>
      <vt:variant>
        <vt:lpwstr>_Toc528683684</vt:lpwstr>
      </vt:variant>
      <vt:variant>
        <vt:i4>1572915</vt:i4>
      </vt:variant>
      <vt:variant>
        <vt:i4>17</vt:i4>
      </vt:variant>
      <vt:variant>
        <vt:i4>0</vt:i4>
      </vt:variant>
      <vt:variant>
        <vt:i4>5</vt:i4>
      </vt:variant>
      <vt:variant>
        <vt:lpwstr/>
      </vt:variant>
      <vt:variant>
        <vt:lpwstr>_Toc528683683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64</cp:revision>
  <cp:lastPrinted>2008-01-31T08:09:00Z</cp:lastPrinted>
  <dcterms:created xsi:type="dcterms:W3CDTF">2018-09-29T01:19:00Z</dcterms:created>
  <dcterms:modified xsi:type="dcterms:W3CDTF">2018-11-02T21:43:00Z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d4c61953-852a-4a62-ab4d-8e0b7695ac59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